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r>
        <w:rPr>
          <w:rFonts w:hint="eastAsia" w:ascii="仿宋" w:hAnsi="仿宋" w:eastAsia="仿宋" w:cs="宋体"/>
          <w:b/>
          <w:bCs/>
          <w:sz w:val="44"/>
          <w:szCs w:val="44"/>
        </w:rPr>
        <w:t>南京溧水产业投资控股集团有限公司</w:t>
      </w:r>
    </w:p>
    <w:p>
      <w:pPr>
        <w:tabs>
          <w:tab w:val="left" w:pos="1671"/>
        </w:tabs>
        <w:jc w:val="center"/>
        <w:rPr>
          <w:rFonts w:ascii="宋体" w:hAnsi="宋体" w:cs="宋体"/>
          <w:b/>
          <w:bCs/>
          <w:sz w:val="36"/>
          <w:szCs w:val="36"/>
        </w:rPr>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工作服采购</w:t>
      </w:r>
    </w:p>
    <w:p>
      <w:pPr>
        <w:pStyle w:val="5"/>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招</w:t>
      </w:r>
    </w:p>
    <w:p>
      <w:pPr>
        <w:pStyle w:val="5"/>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标</w:t>
      </w:r>
    </w:p>
    <w:p>
      <w:pPr>
        <w:pStyle w:val="5"/>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文</w:t>
      </w:r>
    </w:p>
    <w:p>
      <w:pPr>
        <w:pStyle w:val="5"/>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件</w:t>
      </w:r>
    </w:p>
    <w:p>
      <w:pPr>
        <w:tabs>
          <w:tab w:val="left" w:pos="1671"/>
        </w:tabs>
        <w:jc w:val="left"/>
        <w:rPr>
          <w:rFonts w:ascii="仿宋" w:hAnsi="仿宋" w:eastAsia="仿宋" w:cs="宋体"/>
          <w:b/>
          <w:bCs/>
          <w:sz w:val="44"/>
          <w:szCs w:val="44"/>
        </w:rPr>
      </w:pPr>
    </w:p>
    <w:p>
      <w:pPr>
        <w:tabs>
          <w:tab w:val="left" w:pos="1671"/>
        </w:tabs>
        <w:jc w:val="left"/>
        <w:rPr>
          <w:rFonts w:ascii="仿宋" w:hAnsi="仿宋" w:eastAsia="仿宋" w:cs="宋体"/>
          <w:sz w:val="28"/>
          <w:szCs w:val="28"/>
        </w:rPr>
      </w:pPr>
    </w:p>
    <w:p>
      <w:pPr>
        <w:tabs>
          <w:tab w:val="left" w:pos="1671"/>
        </w:tabs>
        <w:jc w:val="left"/>
        <w:rPr>
          <w:rFonts w:ascii="仿宋" w:hAnsi="仿宋" w:eastAsia="仿宋" w:cs="宋体"/>
          <w:sz w:val="28"/>
          <w:szCs w:val="28"/>
        </w:rPr>
      </w:pPr>
    </w:p>
    <w:p>
      <w:pPr>
        <w:tabs>
          <w:tab w:val="left" w:pos="1671"/>
        </w:tabs>
        <w:jc w:val="left"/>
        <w:rPr>
          <w:rFonts w:ascii="仿宋" w:hAnsi="仿宋" w:eastAsia="仿宋" w:cs="宋体"/>
          <w:b/>
          <w:sz w:val="28"/>
          <w:szCs w:val="28"/>
        </w:rPr>
      </w:pPr>
    </w:p>
    <w:p>
      <w:pPr>
        <w:rPr>
          <w:rFonts w:ascii="仿宋" w:hAnsi="仿宋" w:eastAsia="仿宋" w:cs="宋体"/>
          <w:b/>
          <w:sz w:val="32"/>
          <w:szCs w:val="32"/>
          <w:u w:val="single"/>
        </w:rPr>
      </w:pPr>
      <w:r>
        <w:rPr>
          <w:rFonts w:hint="eastAsia" w:ascii="仿宋" w:hAnsi="仿宋" w:eastAsia="仿宋" w:cs="宋体"/>
          <w:b/>
          <w:sz w:val="32"/>
          <w:szCs w:val="32"/>
        </w:rPr>
        <w:t xml:space="preserve">招   标   人：  </w:t>
      </w:r>
      <w:r>
        <w:rPr>
          <w:rFonts w:hint="eastAsia" w:ascii="仿宋" w:hAnsi="仿宋" w:eastAsia="仿宋" w:cs="宋体"/>
          <w:b/>
          <w:sz w:val="32"/>
          <w:szCs w:val="32"/>
          <w:u w:val="single"/>
        </w:rPr>
        <w:t>南京溧水产业投资控股集团有限公司</w:t>
      </w:r>
    </w:p>
    <w:p>
      <w:pPr>
        <w:jc w:val="left"/>
        <w:rPr>
          <w:rFonts w:ascii="仿宋" w:hAnsi="仿宋" w:eastAsia="仿宋" w:cs="宋体"/>
          <w:b/>
          <w:sz w:val="32"/>
          <w:szCs w:val="32"/>
          <w:u w:val="single"/>
        </w:rPr>
      </w:pPr>
      <w:r>
        <w:rPr>
          <w:rFonts w:hint="eastAsia" w:ascii="仿宋" w:hAnsi="仿宋" w:eastAsia="仿宋" w:cs="宋体"/>
          <w:b/>
          <w:sz w:val="32"/>
          <w:szCs w:val="32"/>
        </w:rPr>
        <w:t xml:space="preserve">招标代理机构：  </w:t>
      </w:r>
      <w:r>
        <w:rPr>
          <w:rFonts w:hint="eastAsia" w:ascii="仿宋" w:hAnsi="仿宋" w:eastAsia="仿宋" w:cs="宋体"/>
          <w:b/>
          <w:sz w:val="32"/>
          <w:szCs w:val="32"/>
          <w:u w:val="single"/>
        </w:rPr>
        <w:t>南京卓诚工程造价咨询有限公司</w:t>
      </w:r>
    </w:p>
    <w:p>
      <w:pPr>
        <w:tabs>
          <w:tab w:val="left" w:pos="1671"/>
        </w:tabs>
        <w:jc w:val="left"/>
        <w:rPr>
          <w:rFonts w:ascii="仿宋" w:hAnsi="仿宋" w:eastAsia="仿宋" w:cs="宋体"/>
          <w:b/>
          <w:sz w:val="32"/>
          <w:szCs w:val="32"/>
          <w:u w:val="single"/>
        </w:rPr>
      </w:pPr>
      <w:r>
        <w:rPr>
          <w:rFonts w:hint="eastAsia" w:ascii="仿宋" w:hAnsi="仿宋" w:eastAsia="仿宋" w:cs="宋体"/>
          <w:b/>
          <w:sz w:val="32"/>
          <w:szCs w:val="32"/>
        </w:rPr>
        <w:t xml:space="preserve">日        期：  </w:t>
      </w:r>
      <w:r>
        <w:rPr>
          <w:rFonts w:hint="eastAsia" w:ascii="仿宋" w:hAnsi="仿宋" w:eastAsia="仿宋" w:cs="宋体"/>
          <w:b/>
          <w:sz w:val="32"/>
          <w:szCs w:val="32"/>
          <w:u w:val="single"/>
        </w:rPr>
        <w:t xml:space="preserve"> 2023年 5 月 22 日</w:t>
      </w:r>
    </w:p>
    <w:p>
      <w:pPr>
        <w:spacing w:line="480" w:lineRule="exact"/>
        <w:rPr>
          <w:rFonts w:ascii="仿宋" w:hAnsi="仿宋" w:eastAsia="仿宋"/>
          <w:b/>
          <w:snapToGrid w:val="0"/>
          <w:sz w:val="32"/>
          <w:szCs w:val="32"/>
        </w:rPr>
      </w:pPr>
    </w:p>
    <w:p>
      <w:pPr>
        <w:tabs>
          <w:tab w:val="left" w:pos="3051"/>
        </w:tabs>
        <w:spacing w:line="560" w:lineRule="exact"/>
        <w:ind w:firstLine="2409" w:firstLineChars="500"/>
        <w:jc w:val="left"/>
        <w:rPr>
          <w:rFonts w:ascii="仿宋" w:hAnsi="仿宋" w:eastAsia="仿宋" w:cs="宋体"/>
          <w:b/>
          <w:sz w:val="48"/>
          <w:szCs w:val="48"/>
        </w:rPr>
      </w:pPr>
      <w:r>
        <w:rPr>
          <w:rFonts w:hint="eastAsia" w:ascii="仿宋" w:hAnsi="仿宋" w:eastAsia="仿宋" w:cs="宋体"/>
          <w:b/>
          <w:sz w:val="48"/>
          <w:szCs w:val="48"/>
        </w:rPr>
        <w:t>第一章  投标人须知</w:t>
      </w:r>
    </w:p>
    <w:p>
      <w:pPr>
        <w:tabs>
          <w:tab w:val="left" w:pos="3051"/>
        </w:tabs>
        <w:spacing w:line="560" w:lineRule="exact"/>
        <w:jc w:val="left"/>
        <w:rPr>
          <w:rFonts w:ascii="仿宋" w:hAnsi="仿宋" w:eastAsia="仿宋" w:cs="宋体"/>
          <w:b/>
          <w:sz w:val="48"/>
          <w:szCs w:val="48"/>
        </w:rPr>
      </w:pPr>
      <w:r>
        <w:rPr>
          <w:rFonts w:hint="eastAsia" w:ascii="仿宋" w:hAnsi="仿宋" w:eastAsia="仿宋" w:cs="宋体"/>
          <w:b/>
          <w:bCs/>
          <w:sz w:val="24"/>
          <w:szCs w:val="24"/>
        </w:rPr>
        <w:t xml:space="preserve">                         一、投标人须知前附表</w:t>
      </w:r>
    </w:p>
    <w:tbl>
      <w:tblPr>
        <w:tblStyle w:val="19"/>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899"/>
        <w:gridCol w:w="6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0" w:type="dxa"/>
          </w:tcPr>
          <w:p>
            <w:pPr>
              <w:tabs>
                <w:tab w:val="left" w:pos="1671"/>
              </w:tabs>
              <w:jc w:val="left"/>
              <w:rPr>
                <w:rFonts w:ascii="仿宋" w:hAnsi="仿宋" w:eastAsia="仿宋" w:cs="宋体"/>
                <w:b/>
                <w:bCs/>
                <w:sz w:val="24"/>
                <w:szCs w:val="24"/>
              </w:rPr>
            </w:pPr>
            <w:r>
              <w:rPr>
                <w:rFonts w:hint="eastAsia" w:ascii="仿宋" w:hAnsi="仿宋" w:eastAsia="仿宋" w:cs="宋体"/>
                <w:b/>
                <w:bCs/>
                <w:sz w:val="24"/>
                <w:szCs w:val="24"/>
              </w:rPr>
              <w:t>序号</w:t>
            </w:r>
          </w:p>
        </w:tc>
        <w:tc>
          <w:tcPr>
            <w:tcW w:w="2899" w:type="dxa"/>
          </w:tcPr>
          <w:p>
            <w:pPr>
              <w:tabs>
                <w:tab w:val="left" w:pos="1671"/>
              </w:tabs>
              <w:jc w:val="left"/>
              <w:rPr>
                <w:rFonts w:ascii="仿宋" w:hAnsi="仿宋" w:eastAsia="仿宋" w:cs="宋体"/>
                <w:b/>
                <w:bCs/>
                <w:sz w:val="24"/>
                <w:szCs w:val="24"/>
              </w:rPr>
            </w:pPr>
            <w:r>
              <w:rPr>
                <w:rFonts w:hint="eastAsia" w:ascii="仿宋" w:hAnsi="仿宋" w:eastAsia="仿宋" w:cs="宋体"/>
                <w:b/>
                <w:bCs/>
                <w:sz w:val="24"/>
                <w:szCs w:val="24"/>
              </w:rPr>
              <w:t>条款名称</w:t>
            </w:r>
          </w:p>
        </w:tc>
        <w:tc>
          <w:tcPr>
            <w:tcW w:w="6109" w:type="dxa"/>
          </w:tcPr>
          <w:p>
            <w:pPr>
              <w:tabs>
                <w:tab w:val="left" w:pos="1671"/>
              </w:tabs>
              <w:jc w:val="left"/>
              <w:rPr>
                <w:rFonts w:ascii="仿宋" w:hAnsi="仿宋" w:eastAsia="仿宋" w:cs="宋体"/>
                <w:b/>
                <w:bCs/>
                <w:sz w:val="24"/>
                <w:szCs w:val="24"/>
              </w:rPr>
            </w:pPr>
            <w:r>
              <w:rPr>
                <w:rFonts w:hint="eastAsia" w:ascii="仿宋" w:hAnsi="仿宋" w:eastAsia="仿宋" w:cs="宋体"/>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招标人</w:t>
            </w:r>
          </w:p>
        </w:tc>
        <w:tc>
          <w:tcPr>
            <w:tcW w:w="6109" w:type="dxa"/>
            <w:vAlign w:val="center"/>
          </w:tcPr>
          <w:p>
            <w:pPr>
              <w:rPr>
                <w:rFonts w:ascii="仿宋" w:hAnsi="仿宋" w:eastAsia="仿宋" w:cs="宋体"/>
                <w:b/>
                <w:bCs/>
                <w:sz w:val="24"/>
                <w:szCs w:val="24"/>
              </w:rPr>
            </w:pPr>
            <w:r>
              <w:rPr>
                <w:rFonts w:hint="eastAsia" w:ascii="仿宋" w:hAnsi="仿宋" w:eastAsia="仿宋" w:cs="宋体"/>
                <w:b/>
                <w:bCs/>
                <w:sz w:val="24"/>
                <w:szCs w:val="24"/>
              </w:rPr>
              <w:t>名称：南京溧水产业投资控股集团有限公司</w:t>
            </w:r>
          </w:p>
          <w:p>
            <w:pPr>
              <w:rPr>
                <w:rFonts w:ascii="仿宋" w:hAnsi="仿宋" w:eastAsia="仿宋" w:cs="宋体"/>
                <w:b/>
                <w:bCs/>
                <w:sz w:val="24"/>
                <w:szCs w:val="24"/>
              </w:rPr>
            </w:pPr>
            <w:r>
              <w:rPr>
                <w:rFonts w:hint="eastAsia" w:ascii="仿宋" w:hAnsi="仿宋" w:eastAsia="仿宋" w:cs="宋体"/>
                <w:b/>
                <w:bCs/>
                <w:sz w:val="24"/>
                <w:szCs w:val="24"/>
              </w:rPr>
              <w:t>地址：溧水区珍珠南路2号</w:t>
            </w:r>
          </w:p>
          <w:p>
            <w:pPr>
              <w:rPr>
                <w:rFonts w:hint="eastAsia" w:ascii="仿宋" w:hAnsi="仿宋" w:eastAsia="仿宋" w:cs="宋体"/>
                <w:b/>
                <w:bCs/>
                <w:color w:val="FF0000"/>
                <w:sz w:val="24"/>
                <w:szCs w:val="24"/>
                <w:lang w:val="en-US" w:eastAsia="zh-CN"/>
              </w:rPr>
            </w:pPr>
            <w:r>
              <w:rPr>
                <w:rFonts w:hint="eastAsia" w:ascii="仿宋" w:hAnsi="仿宋" w:eastAsia="仿宋" w:cs="宋体"/>
                <w:b/>
                <w:bCs/>
                <w:sz w:val="24"/>
                <w:szCs w:val="24"/>
              </w:rPr>
              <w:t>联系人：魏</w:t>
            </w:r>
            <w:r>
              <w:rPr>
                <w:rFonts w:hint="eastAsia" w:ascii="仿宋" w:hAnsi="仿宋" w:eastAsia="仿宋" w:cs="宋体"/>
                <w:b/>
                <w:bCs/>
                <w:sz w:val="24"/>
                <w:szCs w:val="24"/>
                <w:lang w:val="en-US" w:eastAsia="zh-CN"/>
              </w:rPr>
              <w:t>工</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2</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招标代理机构</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名称：南京卓诚工程造价咨询有限公司</w:t>
            </w:r>
          </w:p>
          <w:p>
            <w:pPr>
              <w:tabs>
                <w:tab w:val="left" w:pos="1671"/>
              </w:tabs>
              <w:rPr>
                <w:rFonts w:ascii="仿宋" w:hAnsi="仿宋" w:eastAsia="仿宋" w:cs="宋体"/>
                <w:b/>
                <w:bCs/>
                <w:sz w:val="24"/>
                <w:szCs w:val="24"/>
              </w:rPr>
            </w:pPr>
            <w:r>
              <w:rPr>
                <w:rFonts w:hint="eastAsia" w:ascii="仿宋" w:hAnsi="仿宋" w:eastAsia="仿宋" w:cs="宋体"/>
                <w:b/>
                <w:bCs/>
                <w:sz w:val="24"/>
                <w:szCs w:val="24"/>
              </w:rPr>
              <w:t>地址：溧水区广成铂金大厦3楼</w:t>
            </w:r>
          </w:p>
          <w:p>
            <w:pPr>
              <w:tabs>
                <w:tab w:val="left" w:pos="1671"/>
              </w:tabs>
              <w:rPr>
                <w:rFonts w:ascii="仿宋" w:hAnsi="仿宋" w:eastAsia="仿宋" w:cs="宋体"/>
                <w:b/>
                <w:bCs/>
                <w:sz w:val="24"/>
                <w:szCs w:val="24"/>
              </w:rPr>
            </w:pPr>
            <w:r>
              <w:rPr>
                <w:rFonts w:hint="eastAsia" w:ascii="仿宋" w:hAnsi="仿宋" w:eastAsia="仿宋" w:cs="宋体"/>
                <w:b/>
                <w:bCs/>
                <w:sz w:val="24"/>
                <w:szCs w:val="24"/>
              </w:rPr>
              <w:t>联系人：郑晨曈</w:t>
            </w:r>
          </w:p>
          <w:p>
            <w:pPr>
              <w:tabs>
                <w:tab w:val="left" w:pos="1671"/>
              </w:tabs>
              <w:rPr>
                <w:rFonts w:ascii="仿宋" w:hAnsi="仿宋" w:eastAsia="仿宋" w:cs="宋体"/>
                <w:b/>
                <w:bCs/>
                <w:color w:val="FF0000"/>
                <w:sz w:val="24"/>
                <w:szCs w:val="24"/>
              </w:rPr>
            </w:pPr>
            <w:r>
              <w:rPr>
                <w:rFonts w:hint="eastAsia" w:ascii="仿宋" w:hAnsi="仿宋" w:eastAsia="仿宋" w:cs="宋体"/>
                <w:b/>
                <w:bCs/>
                <w:sz w:val="24"/>
                <w:szCs w:val="24"/>
              </w:rPr>
              <w:t>电话：15651957880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3</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项目名称</w:t>
            </w:r>
          </w:p>
        </w:tc>
        <w:tc>
          <w:tcPr>
            <w:tcW w:w="6109" w:type="dxa"/>
            <w:vAlign w:val="center"/>
          </w:tcPr>
          <w:p>
            <w:pPr>
              <w:rPr>
                <w:rFonts w:ascii="仿宋" w:hAnsi="仿宋" w:eastAsia="仿宋" w:cs="宋体"/>
                <w:b/>
                <w:bCs/>
                <w:sz w:val="24"/>
                <w:szCs w:val="24"/>
              </w:rPr>
            </w:pPr>
            <w:r>
              <w:rPr>
                <w:rFonts w:hint="eastAsia" w:ascii="仿宋" w:hAnsi="仿宋" w:eastAsia="仿宋" w:cs="宋体"/>
                <w:b/>
                <w:bCs/>
                <w:sz w:val="24"/>
                <w:szCs w:val="24"/>
              </w:rPr>
              <w:t>工作服采购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4</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项目地点</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溧水区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5</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招标内容</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详见以下招标文件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6</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服务期</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7</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投标文件份数要求</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8</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投标截止时间</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2023年5月30日下午15:00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9</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递交投标文件地点</w:t>
            </w:r>
          </w:p>
        </w:tc>
        <w:tc>
          <w:tcPr>
            <w:tcW w:w="6109" w:type="dxa"/>
            <w:vAlign w:val="center"/>
          </w:tcPr>
          <w:p>
            <w:pPr>
              <w:adjustRightInd w:val="0"/>
              <w:snapToGrid w:val="0"/>
              <w:spacing w:line="300" w:lineRule="auto"/>
              <w:rPr>
                <w:rFonts w:ascii="仿宋" w:hAnsi="仿宋" w:eastAsia="仿宋"/>
                <w:b/>
                <w:snapToGrid w:val="0"/>
                <w:sz w:val="24"/>
              </w:rPr>
            </w:pPr>
            <w:r>
              <w:rPr>
                <w:rFonts w:hint="eastAsia" w:ascii="仿宋" w:hAnsi="仿宋" w:eastAsia="仿宋"/>
                <w:b/>
                <w:snapToGrid w:val="0"/>
                <w:sz w:val="24"/>
              </w:rPr>
              <w:t>递交地点：同以下开标地点。</w:t>
            </w:r>
          </w:p>
          <w:p>
            <w:pPr>
              <w:adjustRightInd w:val="0"/>
              <w:snapToGrid w:val="0"/>
              <w:spacing w:line="300" w:lineRule="auto"/>
              <w:rPr>
                <w:rFonts w:ascii="仿宋" w:hAnsi="仿宋" w:eastAsia="仿宋" w:cs="宋体"/>
                <w:b/>
                <w:bCs/>
                <w:sz w:val="24"/>
                <w:szCs w:val="24"/>
              </w:rPr>
            </w:pPr>
            <w:r>
              <w:rPr>
                <w:rFonts w:hint="eastAsia" w:ascii="仿宋" w:hAnsi="仿宋" w:eastAsia="仿宋"/>
                <w:b/>
                <w:snapToGrid w:val="0"/>
                <w:sz w:val="24"/>
              </w:rPr>
              <w:t>地址：</w:t>
            </w:r>
            <w:r>
              <w:rPr>
                <w:rFonts w:hint="eastAsia" w:ascii="仿宋" w:hAnsi="仿宋" w:eastAsia="仿宋" w:cs="宋体"/>
                <w:b/>
                <w:bCs/>
                <w:sz w:val="24"/>
                <w:szCs w:val="24"/>
              </w:rPr>
              <w:t>南京市溧水区物资大厦7楼会议室</w:t>
            </w:r>
          </w:p>
          <w:p>
            <w:pPr>
              <w:adjustRightInd w:val="0"/>
              <w:snapToGrid w:val="0"/>
              <w:spacing w:line="300" w:lineRule="auto"/>
              <w:rPr>
                <w:rFonts w:ascii="仿宋" w:hAnsi="仿宋" w:eastAsia="仿宋"/>
                <w:b/>
                <w:snapToGrid w:val="0"/>
                <w:sz w:val="24"/>
              </w:rPr>
            </w:pPr>
            <w:r>
              <w:rPr>
                <w:rFonts w:hint="eastAsia" w:ascii="仿宋" w:hAnsi="仿宋" w:eastAsia="仿宋"/>
                <w:b/>
                <w:bCs/>
                <w:snapToGrid w:val="0"/>
                <w:sz w:val="24"/>
                <w:szCs w:val="24"/>
              </w:rPr>
              <w:t xml:space="preserve">接收人： </w:t>
            </w:r>
            <w:r>
              <w:rPr>
                <w:rFonts w:hint="eastAsia" w:ascii="仿宋" w:hAnsi="仿宋" w:eastAsia="仿宋"/>
                <w:b/>
                <w:bCs/>
                <w:snapToGrid w:val="0"/>
                <w:sz w:val="24"/>
                <w:szCs w:val="24"/>
                <w:u w:val="single"/>
              </w:rPr>
              <w:t>南京溧水产业投资控股集团有限公司</w:t>
            </w:r>
            <w:r>
              <w:rPr>
                <w:rFonts w:hint="eastAsia" w:ascii="仿宋" w:hAnsi="仿宋" w:eastAsia="仿宋"/>
                <w:b/>
                <w:snapToGrid w:val="0"/>
                <w:sz w:val="24"/>
              </w:rPr>
              <w:t>（招标人名称）</w:t>
            </w:r>
          </w:p>
          <w:p>
            <w:pPr>
              <w:tabs>
                <w:tab w:val="left" w:pos="1671"/>
              </w:tabs>
              <w:rPr>
                <w:rFonts w:ascii="仿宋" w:hAnsi="仿宋" w:eastAsia="仿宋" w:cs="宋体"/>
                <w:b/>
                <w:bCs/>
                <w:sz w:val="24"/>
                <w:szCs w:val="24"/>
              </w:rPr>
            </w:pPr>
            <w:r>
              <w:rPr>
                <w:rFonts w:hint="eastAsia" w:ascii="仿宋" w:hAnsi="仿宋" w:eastAsia="仿宋"/>
                <w:b/>
                <w:snapToGrid w:val="0"/>
                <w:sz w:val="24"/>
              </w:rPr>
              <w:t>报价截止时间：同以下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10</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b/>
                <w:snapToGrid w:val="0"/>
                <w:sz w:val="24"/>
              </w:rPr>
              <w:t>开        标</w:t>
            </w:r>
          </w:p>
        </w:tc>
        <w:tc>
          <w:tcPr>
            <w:tcW w:w="6109" w:type="dxa"/>
            <w:vAlign w:val="center"/>
          </w:tcPr>
          <w:p>
            <w:pPr>
              <w:adjustRightInd w:val="0"/>
              <w:snapToGrid w:val="0"/>
              <w:spacing w:line="300" w:lineRule="auto"/>
              <w:rPr>
                <w:rFonts w:ascii="仿宋" w:hAnsi="仿宋" w:eastAsia="仿宋"/>
                <w:b/>
                <w:snapToGrid w:val="0"/>
                <w:sz w:val="24"/>
              </w:rPr>
            </w:pPr>
            <w:r>
              <w:rPr>
                <w:rFonts w:hint="eastAsia" w:ascii="仿宋" w:hAnsi="仿宋" w:eastAsia="仿宋"/>
                <w:b/>
                <w:snapToGrid w:val="0"/>
                <w:sz w:val="24"/>
              </w:rPr>
              <w:t>时间：</w:t>
            </w:r>
            <w:r>
              <w:rPr>
                <w:rFonts w:hint="eastAsia" w:ascii="仿宋" w:hAnsi="仿宋" w:eastAsia="仿宋"/>
                <w:b/>
                <w:snapToGrid w:val="0"/>
                <w:sz w:val="24"/>
                <w:u w:val="single"/>
              </w:rPr>
              <w:t>2023</w:t>
            </w:r>
            <w:r>
              <w:rPr>
                <w:rFonts w:hint="eastAsia" w:ascii="仿宋" w:hAnsi="仿宋" w:eastAsia="仿宋"/>
                <w:b/>
                <w:snapToGrid w:val="0"/>
                <w:sz w:val="24"/>
              </w:rPr>
              <w:t>年</w:t>
            </w:r>
            <w:r>
              <w:rPr>
                <w:rFonts w:hint="eastAsia" w:ascii="仿宋" w:hAnsi="仿宋" w:eastAsia="仿宋"/>
                <w:b/>
                <w:snapToGrid w:val="0"/>
                <w:sz w:val="24"/>
                <w:u w:val="single"/>
              </w:rPr>
              <w:t>5</w:t>
            </w:r>
            <w:r>
              <w:rPr>
                <w:rFonts w:hint="eastAsia" w:ascii="仿宋" w:hAnsi="仿宋" w:eastAsia="仿宋"/>
                <w:b/>
                <w:snapToGrid w:val="0"/>
                <w:sz w:val="24"/>
              </w:rPr>
              <w:t>月</w:t>
            </w:r>
            <w:r>
              <w:rPr>
                <w:rFonts w:hint="eastAsia" w:ascii="仿宋" w:hAnsi="仿宋" w:eastAsia="仿宋"/>
                <w:b/>
                <w:snapToGrid w:val="0"/>
                <w:sz w:val="24"/>
                <w:u w:val="single"/>
              </w:rPr>
              <w:t>30</w:t>
            </w:r>
            <w:r>
              <w:rPr>
                <w:rFonts w:hint="eastAsia" w:ascii="仿宋" w:hAnsi="仿宋" w:eastAsia="仿宋"/>
                <w:b/>
                <w:snapToGrid w:val="0"/>
                <w:sz w:val="24"/>
              </w:rPr>
              <w:t>日</w:t>
            </w:r>
            <w:r>
              <w:rPr>
                <w:rFonts w:hint="eastAsia" w:ascii="仿宋" w:hAnsi="仿宋" w:eastAsia="仿宋"/>
                <w:b/>
                <w:snapToGrid w:val="0"/>
                <w:sz w:val="24"/>
                <w:u w:val="single"/>
              </w:rPr>
              <w:t>下午15:00</w:t>
            </w:r>
            <w:r>
              <w:rPr>
                <w:rFonts w:hint="eastAsia" w:ascii="仿宋" w:hAnsi="仿宋" w:eastAsia="仿宋"/>
                <w:b/>
                <w:snapToGrid w:val="0"/>
                <w:sz w:val="24"/>
              </w:rPr>
              <w:t>时</w:t>
            </w:r>
          </w:p>
          <w:p>
            <w:pPr>
              <w:adjustRightInd w:val="0"/>
              <w:snapToGrid w:val="0"/>
              <w:spacing w:line="300" w:lineRule="auto"/>
              <w:rPr>
                <w:rFonts w:ascii="仿宋" w:hAnsi="仿宋" w:eastAsia="仿宋"/>
                <w:b/>
                <w:snapToGrid w:val="0"/>
                <w:sz w:val="24"/>
              </w:rPr>
            </w:pPr>
            <w:r>
              <w:rPr>
                <w:rFonts w:hint="eastAsia" w:ascii="仿宋" w:hAnsi="仿宋" w:eastAsia="仿宋"/>
                <w:b/>
                <w:snapToGrid w:val="0"/>
                <w:sz w:val="24"/>
              </w:rPr>
              <w:t>地点：</w:t>
            </w:r>
            <w:r>
              <w:rPr>
                <w:rFonts w:hint="eastAsia" w:ascii="仿宋" w:hAnsi="仿宋" w:eastAsia="仿宋" w:cs="宋体"/>
                <w:b/>
                <w:bCs/>
                <w:sz w:val="24"/>
                <w:szCs w:val="24"/>
              </w:rPr>
              <w:t>南京市溧水区物资大厦7楼会议室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11</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评分方法</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12</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招标控制价</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本项目招标控制价为41.895万元，等于或高于招标控制价的作废标处理。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13</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投标保证金</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30"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14</w:t>
            </w:r>
          </w:p>
        </w:tc>
        <w:tc>
          <w:tcPr>
            <w:tcW w:w="289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需要补充的其他内容</w:t>
            </w:r>
          </w:p>
        </w:tc>
        <w:tc>
          <w:tcPr>
            <w:tcW w:w="6109" w:type="dxa"/>
            <w:vAlign w:val="center"/>
          </w:tcPr>
          <w:p>
            <w:pPr>
              <w:tabs>
                <w:tab w:val="left" w:pos="1671"/>
              </w:tabs>
              <w:rPr>
                <w:rFonts w:ascii="仿宋" w:hAnsi="仿宋" w:eastAsia="仿宋" w:cs="宋体"/>
                <w:b/>
                <w:bCs/>
                <w:sz w:val="24"/>
                <w:szCs w:val="24"/>
              </w:rPr>
            </w:pPr>
            <w:r>
              <w:rPr>
                <w:rFonts w:hint="eastAsia" w:ascii="仿宋" w:hAnsi="仿宋" w:eastAsia="仿宋" w:cs="宋体"/>
                <w:b/>
                <w:bCs/>
                <w:color w:val="FF0000"/>
                <w:sz w:val="24"/>
                <w:szCs w:val="24"/>
              </w:rPr>
              <w:t>投标单位需现场陈述</w:t>
            </w:r>
          </w:p>
        </w:tc>
      </w:tr>
    </w:tbl>
    <w:p>
      <w:pPr>
        <w:tabs>
          <w:tab w:val="left" w:pos="0"/>
          <w:tab w:val="left" w:pos="993"/>
          <w:tab w:val="left" w:pos="1134"/>
        </w:tabs>
        <w:adjustRightInd w:val="0"/>
        <w:snapToGrid w:val="0"/>
        <w:spacing w:line="360" w:lineRule="auto"/>
        <w:ind w:firstLine="2409" w:firstLineChars="800"/>
        <w:rPr>
          <w:rFonts w:ascii="仿宋" w:hAnsi="仿宋" w:eastAsia="仿宋"/>
          <w:snapToGrid w:val="0"/>
          <w:sz w:val="28"/>
        </w:rPr>
      </w:pPr>
      <w:r>
        <w:rPr>
          <w:rFonts w:hint="eastAsia" w:ascii="仿宋" w:hAnsi="仿宋" w:eastAsia="仿宋"/>
          <w:b/>
          <w:snapToGrid w:val="0"/>
          <w:sz w:val="30"/>
        </w:rPr>
        <w:t xml:space="preserve">    二</w:t>
      </w:r>
      <w:r>
        <w:rPr>
          <w:rFonts w:ascii="仿宋" w:hAnsi="仿宋" w:eastAsia="仿宋"/>
          <w:b/>
          <w:snapToGrid w:val="0"/>
          <w:sz w:val="30"/>
        </w:rPr>
        <w:t>、报价</w:t>
      </w:r>
      <w:r>
        <w:rPr>
          <w:rFonts w:hint="eastAsia" w:ascii="仿宋" w:hAnsi="仿宋" w:eastAsia="仿宋"/>
          <w:b/>
          <w:snapToGrid w:val="0"/>
          <w:sz w:val="30"/>
        </w:rPr>
        <w:t>要求</w:t>
      </w:r>
    </w:p>
    <w:p>
      <w:pPr>
        <w:numPr>
          <w:ilvl w:val="0"/>
          <w:numId w:val="1"/>
        </w:numPr>
        <w:tabs>
          <w:tab w:val="left" w:pos="0"/>
          <w:tab w:val="left" w:pos="1000"/>
        </w:tabs>
        <w:adjustRightInd w:val="0"/>
        <w:snapToGrid w:val="0"/>
        <w:spacing w:line="300" w:lineRule="auto"/>
        <w:ind w:firstLine="600"/>
        <w:rPr>
          <w:rFonts w:ascii="仿宋" w:hAnsi="仿宋" w:eastAsia="仿宋"/>
          <w:snapToGrid w:val="0"/>
          <w:sz w:val="28"/>
          <w:szCs w:val="22"/>
        </w:rPr>
      </w:pPr>
      <w:r>
        <w:rPr>
          <w:rFonts w:hint="eastAsia" w:ascii="仿宋" w:hAnsi="仿宋" w:eastAsia="仿宋"/>
          <w:snapToGrid w:val="0"/>
          <w:sz w:val="28"/>
          <w:szCs w:val="22"/>
        </w:rPr>
        <w:t>投标报价应是招标文件所确定的招标范围内的全部工作内容的价格体现。</w:t>
      </w:r>
    </w:p>
    <w:p>
      <w:pPr>
        <w:tabs>
          <w:tab w:val="left" w:pos="0"/>
        </w:tabs>
        <w:adjustRightInd w:val="0"/>
        <w:snapToGrid w:val="0"/>
        <w:spacing w:line="360" w:lineRule="auto"/>
        <w:ind w:firstLine="560" w:firstLineChars="200"/>
        <w:rPr>
          <w:rFonts w:ascii="仿宋" w:hAnsi="仿宋" w:eastAsia="仿宋"/>
          <w:b/>
          <w:snapToGrid w:val="0"/>
          <w:sz w:val="28"/>
        </w:rPr>
      </w:pPr>
      <w:r>
        <w:rPr>
          <w:rFonts w:hint="eastAsia" w:ascii="仿宋" w:hAnsi="仿宋" w:eastAsia="仿宋"/>
          <w:bCs/>
          <w:snapToGrid w:val="0"/>
          <w:sz w:val="28"/>
        </w:rPr>
        <w:t>2、</w:t>
      </w:r>
      <w:r>
        <w:rPr>
          <w:rFonts w:ascii="仿宋" w:hAnsi="仿宋" w:eastAsia="仿宋"/>
          <w:bCs/>
          <w:snapToGrid w:val="0"/>
          <w:sz w:val="28"/>
        </w:rPr>
        <w:t>投标人根据招标人提供的</w:t>
      </w:r>
      <w:r>
        <w:rPr>
          <w:rFonts w:hint="eastAsia" w:ascii="仿宋" w:hAnsi="仿宋" w:eastAsia="仿宋"/>
          <w:bCs/>
          <w:snapToGrid w:val="0"/>
          <w:sz w:val="28"/>
        </w:rPr>
        <w:t>招标</w:t>
      </w:r>
      <w:r>
        <w:rPr>
          <w:rFonts w:ascii="仿宋" w:hAnsi="仿宋" w:eastAsia="仿宋"/>
          <w:bCs/>
          <w:snapToGrid w:val="0"/>
          <w:sz w:val="28"/>
        </w:rPr>
        <w:t>范围，考虑以后有可能调整的因素进行报价。中标单位签订合同</w:t>
      </w:r>
      <w:r>
        <w:rPr>
          <w:rFonts w:hint="eastAsia" w:ascii="仿宋" w:hAnsi="仿宋" w:eastAsia="仿宋"/>
          <w:bCs/>
          <w:snapToGrid w:val="0"/>
          <w:sz w:val="28"/>
        </w:rPr>
        <w:t>后</w:t>
      </w:r>
      <w:r>
        <w:rPr>
          <w:rFonts w:ascii="仿宋" w:hAnsi="仿宋" w:eastAsia="仿宋"/>
          <w:bCs/>
          <w:snapToGrid w:val="0"/>
          <w:sz w:val="28"/>
        </w:rPr>
        <w:t>，</w:t>
      </w:r>
      <w:r>
        <w:rPr>
          <w:rFonts w:hint="eastAsia" w:ascii="仿宋" w:hAnsi="仿宋" w:eastAsia="仿宋"/>
          <w:bCs/>
          <w:snapToGrid w:val="0"/>
          <w:sz w:val="28"/>
        </w:rPr>
        <w:t>该中</w:t>
      </w:r>
      <w:r>
        <w:rPr>
          <w:rFonts w:ascii="仿宋" w:hAnsi="仿宋" w:eastAsia="仿宋"/>
          <w:bCs/>
          <w:snapToGrid w:val="0"/>
          <w:sz w:val="28"/>
        </w:rPr>
        <w:t>标</w:t>
      </w:r>
      <w:r>
        <w:rPr>
          <w:rFonts w:hint="eastAsia" w:ascii="仿宋" w:hAnsi="仿宋" w:eastAsia="仿宋"/>
          <w:bCs/>
          <w:snapToGrid w:val="0"/>
          <w:sz w:val="28"/>
        </w:rPr>
        <w:t>价</w:t>
      </w:r>
      <w:r>
        <w:rPr>
          <w:rFonts w:ascii="仿宋" w:hAnsi="仿宋" w:eastAsia="仿宋"/>
          <w:bCs/>
          <w:snapToGrid w:val="0"/>
          <w:sz w:val="28"/>
        </w:rPr>
        <w:t>不作调整。</w:t>
      </w:r>
    </w:p>
    <w:p>
      <w:pPr>
        <w:tabs>
          <w:tab w:val="left" w:pos="0"/>
          <w:tab w:val="left" w:pos="1000"/>
        </w:tabs>
        <w:adjustRightInd w:val="0"/>
        <w:snapToGrid w:val="0"/>
        <w:spacing w:line="300" w:lineRule="auto"/>
        <w:ind w:firstLine="600"/>
        <w:rPr>
          <w:rFonts w:ascii="仿宋" w:hAnsi="仿宋" w:eastAsia="仿宋"/>
          <w:snapToGrid w:val="0"/>
          <w:sz w:val="28"/>
        </w:rPr>
      </w:pPr>
      <w:r>
        <w:rPr>
          <w:rFonts w:hint="eastAsia" w:ascii="仿宋" w:hAnsi="仿宋" w:eastAsia="仿宋"/>
          <w:snapToGrid w:val="0"/>
          <w:sz w:val="28"/>
        </w:rPr>
        <w:t>3、本次招标未中标单位无补偿费用。</w:t>
      </w:r>
    </w:p>
    <w:p>
      <w:pPr>
        <w:tabs>
          <w:tab w:val="left" w:pos="0"/>
          <w:tab w:val="left" w:pos="993"/>
          <w:tab w:val="left" w:pos="1134"/>
        </w:tabs>
        <w:adjustRightInd w:val="0"/>
        <w:snapToGrid w:val="0"/>
        <w:spacing w:line="360" w:lineRule="auto"/>
        <w:ind w:firstLine="567"/>
        <w:rPr>
          <w:rFonts w:ascii="仿宋" w:hAnsi="仿宋" w:eastAsia="仿宋"/>
          <w:snapToGrid w:val="0"/>
          <w:sz w:val="28"/>
        </w:rPr>
      </w:pPr>
      <w:r>
        <w:rPr>
          <w:rFonts w:hint="eastAsia" w:ascii="仿宋" w:hAnsi="仿宋" w:eastAsia="仿宋"/>
          <w:b/>
          <w:bCs/>
          <w:snapToGrid w:val="0"/>
          <w:sz w:val="28"/>
        </w:rPr>
        <w:t xml:space="preserve">              三、</w:t>
      </w:r>
      <w:r>
        <w:rPr>
          <w:rFonts w:ascii="仿宋" w:hAnsi="仿宋" w:eastAsia="仿宋"/>
          <w:b/>
          <w:bCs/>
          <w:snapToGrid w:val="0"/>
          <w:sz w:val="28"/>
        </w:rPr>
        <w:t>投标文件的密封与标志</w:t>
      </w:r>
    </w:p>
    <w:p>
      <w:pPr>
        <w:tabs>
          <w:tab w:val="left" w:pos="0"/>
          <w:tab w:val="left" w:pos="993"/>
          <w:tab w:val="left" w:pos="1134"/>
        </w:tabs>
        <w:adjustRightInd w:val="0"/>
        <w:snapToGrid w:val="0"/>
        <w:spacing w:line="360" w:lineRule="auto"/>
        <w:ind w:firstLine="567"/>
        <w:rPr>
          <w:rFonts w:ascii="仿宋" w:hAnsi="仿宋" w:eastAsia="仿宋"/>
          <w:snapToGrid w:val="0"/>
          <w:sz w:val="28"/>
        </w:rPr>
      </w:pPr>
      <w:r>
        <w:rPr>
          <w:rFonts w:ascii="仿宋" w:hAnsi="仿宋" w:eastAsia="仿宋"/>
          <w:snapToGrid w:val="0"/>
          <w:sz w:val="28"/>
        </w:rPr>
        <w:t>1、</w:t>
      </w:r>
      <w:r>
        <w:rPr>
          <w:rFonts w:hint="eastAsia" w:ascii="仿宋" w:hAnsi="仿宋" w:eastAsia="仿宋"/>
          <w:snapToGrid w:val="0"/>
          <w:sz w:val="28"/>
        </w:rPr>
        <w:t>投标文件的正本与副本应分开包装，加贴封条，并在封套的封口处加盖</w:t>
      </w:r>
      <w:r>
        <w:rPr>
          <w:rFonts w:ascii="仿宋" w:hAnsi="仿宋" w:eastAsia="仿宋"/>
          <w:snapToGrid w:val="0"/>
          <w:sz w:val="28"/>
        </w:rPr>
        <w:t>投标人</w:t>
      </w:r>
      <w:r>
        <w:rPr>
          <w:rFonts w:hint="eastAsia" w:ascii="仿宋" w:hAnsi="仿宋" w:eastAsia="仿宋"/>
          <w:snapToGrid w:val="0"/>
          <w:sz w:val="28"/>
        </w:rPr>
        <w:t>单位公章。</w:t>
      </w:r>
    </w:p>
    <w:p>
      <w:pPr>
        <w:tabs>
          <w:tab w:val="left" w:pos="0"/>
          <w:tab w:val="left" w:pos="1000"/>
        </w:tabs>
        <w:adjustRightInd w:val="0"/>
        <w:snapToGrid w:val="0"/>
        <w:spacing w:line="300" w:lineRule="auto"/>
        <w:ind w:firstLine="600"/>
        <w:rPr>
          <w:rFonts w:ascii="仿宋" w:hAnsi="仿宋" w:eastAsia="仿宋"/>
          <w:snapToGrid w:val="0"/>
          <w:sz w:val="28"/>
        </w:rPr>
      </w:pPr>
      <w:r>
        <w:rPr>
          <w:rFonts w:ascii="仿宋" w:hAnsi="仿宋" w:eastAsia="仿宋"/>
          <w:snapToGrid w:val="0"/>
          <w:sz w:val="28"/>
        </w:rPr>
        <w:t>2、</w:t>
      </w:r>
      <w:r>
        <w:rPr>
          <w:rFonts w:hint="eastAsia" w:ascii="仿宋" w:hAnsi="仿宋" w:eastAsia="仿宋"/>
          <w:snapToGrid w:val="0"/>
          <w:sz w:val="28"/>
        </w:rPr>
        <w:t>在投标文件的封面及封套上应清楚地标记“正本”、“副本”字样，封套还应写明的其他内容见投标人须知前附表。</w:t>
      </w:r>
    </w:p>
    <w:p>
      <w:pPr>
        <w:tabs>
          <w:tab w:val="left" w:pos="0"/>
          <w:tab w:val="left" w:pos="1000"/>
        </w:tabs>
        <w:adjustRightInd w:val="0"/>
        <w:snapToGrid w:val="0"/>
        <w:spacing w:line="300" w:lineRule="auto"/>
        <w:ind w:firstLine="600"/>
        <w:rPr>
          <w:rFonts w:ascii="仿宋" w:hAnsi="仿宋" w:eastAsia="仿宋"/>
          <w:bCs/>
          <w:snapToGrid w:val="0"/>
          <w:sz w:val="28"/>
        </w:rPr>
      </w:pPr>
      <w:r>
        <w:rPr>
          <w:rFonts w:hint="eastAsia" w:ascii="仿宋" w:hAnsi="仿宋" w:eastAsia="仿宋"/>
          <w:bCs/>
          <w:snapToGrid w:val="0"/>
          <w:sz w:val="28"/>
        </w:rPr>
        <w:t>3、未按上述要求密封和标记的招标文件招标人不予受理。</w:t>
      </w:r>
    </w:p>
    <w:p>
      <w:pPr>
        <w:pStyle w:val="35"/>
        <w:numPr>
          <w:ilvl w:val="0"/>
          <w:numId w:val="2"/>
        </w:numPr>
        <w:tabs>
          <w:tab w:val="left" w:pos="0"/>
          <w:tab w:val="left" w:pos="1000"/>
        </w:tabs>
        <w:adjustRightInd w:val="0"/>
        <w:snapToGrid w:val="0"/>
        <w:spacing w:line="300" w:lineRule="auto"/>
        <w:ind w:firstLineChars="0"/>
        <w:rPr>
          <w:rFonts w:ascii="仿宋" w:hAnsi="仿宋" w:eastAsia="仿宋"/>
          <w:b/>
          <w:bCs/>
          <w:snapToGrid w:val="0"/>
          <w:sz w:val="28"/>
        </w:rPr>
      </w:pPr>
      <w:r>
        <w:rPr>
          <w:rFonts w:hint="eastAsia" w:ascii="仿宋" w:hAnsi="仿宋" w:eastAsia="仿宋"/>
          <w:b/>
          <w:bCs/>
          <w:snapToGrid w:val="0"/>
          <w:sz w:val="28"/>
        </w:rPr>
        <w:t>投标文件的递交</w:t>
      </w:r>
    </w:p>
    <w:p>
      <w:pPr>
        <w:tabs>
          <w:tab w:val="left" w:pos="0"/>
          <w:tab w:val="left" w:pos="1000"/>
        </w:tabs>
        <w:adjustRightInd w:val="0"/>
        <w:snapToGrid w:val="0"/>
        <w:spacing w:line="300" w:lineRule="auto"/>
        <w:ind w:left="600"/>
        <w:rPr>
          <w:rFonts w:ascii="仿宋" w:hAnsi="仿宋" w:eastAsia="仿宋"/>
          <w:snapToGrid w:val="0"/>
          <w:sz w:val="28"/>
        </w:rPr>
      </w:pPr>
      <w:r>
        <w:rPr>
          <w:rFonts w:hint="eastAsia" w:ascii="仿宋" w:hAnsi="仿宋" w:eastAsia="仿宋"/>
          <w:snapToGrid w:val="0"/>
          <w:sz w:val="28"/>
        </w:rPr>
        <w:t>1、投标人按投标人须知附表规定的时间、地点递交投标文件。</w:t>
      </w:r>
    </w:p>
    <w:p>
      <w:pPr>
        <w:numPr>
          <w:ilvl w:val="0"/>
          <w:numId w:val="1"/>
        </w:numPr>
        <w:tabs>
          <w:tab w:val="left" w:pos="0"/>
          <w:tab w:val="left" w:pos="1000"/>
        </w:tabs>
        <w:adjustRightInd w:val="0"/>
        <w:snapToGrid w:val="0"/>
        <w:spacing w:line="300" w:lineRule="auto"/>
        <w:ind w:firstLine="600"/>
        <w:rPr>
          <w:rFonts w:ascii="仿宋" w:hAnsi="仿宋" w:eastAsia="仿宋"/>
          <w:bCs/>
          <w:snapToGrid w:val="0"/>
          <w:sz w:val="28"/>
        </w:rPr>
      </w:pPr>
      <w:r>
        <w:rPr>
          <w:rFonts w:hint="eastAsia" w:ascii="仿宋" w:hAnsi="仿宋" w:eastAsia="仿宋"/>
          <w:snapToGrid w:val="0"/>
          <w:sz w:val="28"/>
        </w:rPr>
        <w:t>投标人所递交的投标文件均不予退还</w:t>
      </w:r>
      <w:r>
        <w:rPr>
          <w:rFonts w:hint="eastAsia" w:ascii="仿宋" w:hAnsi="仿宋" w:eastAsia="仿宋"/>
          <w:bCs/>
          <w:snapToGrid w:val="0"/>
          <w:sz w:val="28"/>
        </w:rPr>
        <w:t>。</w:t>
      </w:r>
    </w:p>
    <w:p>
      <w:pPr>
        <w:numPr>
          <w:ilvl w:val="0"/>
          <w:numId w:val="1"/>
        </w:numPr>
        <w:tabs>
          <w:tab w:val="left" w:pos="0"/>
          <w:tab w:val="left" w:pos="1000"/>
        </w:tabs>
        <w:adjustRightInd w:val="0"/>
        <w:snapToGrid w:val="0"/>
        <w:spacing w:line="300" w:lineRule="auto"/>
        <w:ind w:firstLine="600"/>
        <w:rPr>
          <w:rFonts w:ascii="仿宋" w:hAnsi="仿宋" w:eastAsia="仿宋"/>
          <w:bCs/>
          <w:snapToGrid w:val="0"/>
          <w:sz w:val="28"/>
        </w:rPr>
      </w:pPr>
      <w:r>
        <w:rPr>
          <w:rFonts w:hint="eastAsia" w:ascii="仿宋" w:hAnsi="仿宋" w:eastAsia="仿宋"/>
          <w:bCs/>
          <w:snapToGrid w:val="0"/>
          <w:sz w:val="28"/>
        </w:rPr>
        <w:t>逾期送达或未送达指定地点的投标文件，招标人不予受理。</w:t>
      </w:r>
    </w:p>
    <w:p>
      <w:pPr>
        <w:pStyle w:val="35"/>
        <w:numPr>
          <w:ilvl w:val="0"/>
          <w:numId w:val="2"/>
        </w:numPr>
        <w:tabs>
          <w:tab w:val="left" w:pos="0"/>
          <w:tab w:val="left" w:pos="1000"/>
        </w:tabs>
        <w:adjustRightInd w:val="0"/>
        <w:snapToGrid w:val="0"/>
        <w:spacing w:line="300" w:lineRule="auto"/>
        <w:ind w:firstLineChars="0"/>
        <w:rPr>
          <w:rFonts w:ascii="仿宋" w:hAnsi="仿宋" w:eastAsia="仿宋"/>
          <w:b/>
          <w:bCs/>
          <w:snapToGrid w:val="0"/>
          <w:sz w:val="28"/>
        </w:rPr>
      </w:pPr>
      <w:r>
        <w:rPr>
          <w:rFonts w:hint="eastAsia" w:ascii="仿宋" w:hAnsi="仿宋" w:eastAsia="仿宋"/>
          <w:b/>
          <w:bCs/>
          <w:snapToGrid w:val="0"/>
          <w:sz w:val="28"/>
        </w:rPr>
        <w:t>投标人服务须知</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1、本项目不得分包及转包，中标人如有前述行为的，经采购人调查认定中标人存在分包及转包情形的，采购人有权取消中标人中标资格或终止合同，并可以根据本次评标得分从高到低依序递补中标候选人或者重新组织招标。</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2、中标人需遵守国家劳动法，合法用工，所录用员工身体健康、着装整洁，人员名册报采购人，如工作人员发生变化要及时更改，服务期间发生的劳资、劳务纠纷由中标人自行承担，与采购人无关。</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3、中标人应加强员工生产安全教育，需提供必要的劳动保护措施，与采购人签订安全生产承诺书（合同），服务期间发生的派遣工作人员所有人身意外、伤亡等情况均由中标人自行负责、处理，与采购人无关。</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4、服务期间，中标人工作人员与市场现场人员发生纠纷，由中标人负责处理、赔偿等事宜。</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5、采购人对中标人服务质量、效果采取考核管理，每月根据测评、考核情况支付相应服务费用，经采购人考核，认定中标人服务质量、管理、效果等为不满意、不能达到相应采购需求的，采购人有权终止合同执行，并可以根据本次评标得分从高到低依序递补中标候选人或者重新组织招标。</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6、服务期间，中标人有下列行为的，采购人将酌情扣减中标人服务费：</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（1）对采购人的服装等资产产生严重损害的；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（2）因工作人员行为不当给采购人声誉造成不良影响的；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（3）因中标人原因，发生采购人被相关主管部门负面通报、处罚罚款等情形的；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（4）采购人被投诉、举报，经查实属因中标人原因的；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（5）中标人工作人员与市场现场人员发生纠纷，经调查确属工作人员存在过错的；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（6）其他损害采购人权益的行为。</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7、采购人发现采购需求出现重大遗漏时，可以委托评审小组对所有投标人提出新的要求，投标人如不能接受新增要求，视为未能响应招标需求，为无效标。</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8、评标过程中，评审小组认为投标人都达不到采购要求时，可以不选择任何一家投标单位。</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9、评标现场，投标人需口头汇报自己的投标方案。</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pStyle w:val="2"/>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snapToGrid w:val="0"/>
          <w:sz w:val="28"/>
          <w:szCs w:val="22"/>
        </w:rPr>
      </w:pPr>
      <w:r>
        <w:rPr>
          <w:rFonts w:hint="eastAsia" w:ascii="仿宋" w:hAnsi="仿宋" w:eastAsia="仿宋"/>
          <w:b/>
          <w:bCs/>
          <w:snapToGrid w:val="0"/>
          <w:sz w:val="44"/>
          <w:szCs w:val="44"/>
        </w:rPr>
        <w:t>第二章  采购需求</w:t>
      </w:r>
    </w:p>
    <w:p>
      <w:pPr>
        <w:pStyle w:val="18"/>
        <w:ind w:left="0" w:leftChars="0" w:firstLine="0" w:firstLineChars="0"/>
        <w:rPr>
          <w:rFonts w:hAnsi="宋体"/>
          <w:b/>
          <w:sz w:val="28"/>
          <w:szCs w:val="28"/>
        </w:rPr>
      </w:pPr>
      <w:r>
        <w:rPr>
          <w:rFonts w:hint="eastAsia" w:hAnsi="宋体"/>
          <w:b/>
          <w:sz w:val="28"/>
          <w:szCs w:val="28"/>
        </w:rPr>
        <w:t>一、采购清单</w:t>
      </w:r>
    </w:p>
    <w:tbl>
      <w:tblPr>
        <w:tblStyle w:val="19"/>
        <w:tblW w:w="9318" w:type="dxa"/>
        <w:tblInd w:w="196" w:type="dxa"/>
        <w:tblLayout w:type="fixed"/>
        <w:tblCellMar>
          <w:top w:w="0" w:type="dxa"/>
          <w:left w:w="0" w:type="dxa"/>
          <w:bottom w:w="0" w:type="dxa"/>
          <w:right w:w="0" w:type="dxa"/>
        </w:tblCellMar>
      </w:tblPr>
      <w:tblGrid>
        <w:gridCol w:w="671"/>
        <w:gridCol w:w="4104"/>
        <w:gridCol w:w="1085"/>
        <w:gridCol w:w="1616"/>
        <w:gridCol w:w="1842"/>
      </w:tblGrid>
      <w:tr>
        <w:tblPrEx>
          <w:tblCellMar>
            <w:top w:w="0" w:type="dxa"/>
            <w:left w:w="0" w:type="dxa"/>
            <w:bottom w:w="0" w:type="dxa"/>
            <w:right w:w="0" w:type="dxa"/>
          </w:tblCellMar>
        </w:tblPrEx>
        <w:trPr>
          <w:trHeight w:val="6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sz w:val="28"/>
                <w:szCs w:val="28"/>
              </w:rPr>
              <w:t>序号</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sz w:val="28"/>
                <w:szCs w:val="28"/>
              </w:rPr>
              <w:t>采购品名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sz w:val="28"/>
                <w:szCs w:val="28"/>
              </w:rPr>
              <w:t>单位</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sz w:val="28"/>
                <w:szCs w:val="28"/>
              </w:rPr>
              <w:t>单价</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sz w:val="28"/>
                <w:szCs w:val="28"/>
              </w:rPr>
              <w:t>备注</w:t>
            </w:r>
          </w:p>
        </w:tc>
      </w:tr>
      <w:tr>
        <w:tblPrEx>
          <w:tblCellMar>
            <w:top w:w="0" w:type="dxa"/>
            <w:left w:w="0" w:type="dxa"/>
            <w:bottom w:w="0" w:type="dxa"/>
            <w:right w:w="0" w:type="dxa"/>
          </w:tblCellMar>
        </w:tblPrEx>
        <w:trPr>
          <w:trHeight w:val="6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大衣</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件</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2850元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6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2</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长衬衣</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件</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390元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6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3</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短衬衣</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件</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370元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6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4</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夏裤</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条</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380元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668" w:hRule="atLeast"/>
        </w:trPr>
        <w:tc>
          <w:tcPr>
            <w:tcW w:w="58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合计</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3990元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668" w:hRule="atLeast"/>
        </w:trPr>
        <w:tc>
          <w:tcPr>
            <w:tcW w:w="931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105套*3900元=418950元</w:t>
            </w:r>
          </w:p>
        </w:tc>
      </w:tr>
    </w:tbl>
    <w:p>
      <w:pPr>
        <w:pStyle w:val="18"/>
        <w:ind w:left="0" w:leftChars="0" w:firstLine="0" w:firstLineChars="0"/>
        <w:rPr>
          <w:rFonts w:ascii="仿宋" w:hAnsi="仿宋" w:eastAsia="仿宋" w:cs="仿宋"/>
          <w:b/>
          <w:sz w:val="28"/>
          <w:szCs w:val="28"/>
        </w:rPr>
      </w:pPr>
      <w:r>
        <w:rPr>
          <w:rFonts w:hint="eastAsia" w:ascii="仿宋" w:hAnsi="仿宋" w:eastAsia="仿宋" w:cs="仿宋"/>
          <w:b/>
          <w:sz w:val="28"/>
          <w:szCs w:val="28"/>
        </w:rPr>
        <w:t>二、采购清单技术要求及配置说明</w:t>
      </w:r>
    </w:p>
    <w:tbl>
      <w:tblPr>
        <w:tblStyle w:val="19"/>
        <w:tblW w:w="9247" w:type="dxa"/>
        <w:tblInd w:w="210" w:type="dxa"/>
        <w:tblLayout w:type="fixed"/>
        <w:tblCellMar>
          <w:top w:w="15" w:type="dxa"/>
          <w:left w:w="15" w:type="dxa"/>
          <w:bottom w:w="15" w:type="dxa"/>
          <w:right w:w="15" w:type="dxa"/>
        </w:tblCellMar>
      </w:tblPr>
      <w:tblGrid>
        <w:gridCol w:w="644"/>
        <w:gridCol w:w="818"/>
        <w:gridCol w:w="862"/>
        <w:gridCol w:w="3163"/>
        <w:gridCol w:w="2651"/>
        <w:gridCol w:w="1109"/>
      </w:tblGrid>
      <w:tr>
        <w:tblPrEx>
          <w:tblCellMar>
            <w:top w:w="15" w:type="dxa"/>
            <w:left w:w="15" w:type="dxa"/>
            <w:bottom w:w="15" w:type="dxa"/>
            <w:right w:w="15" w:type="dxa"/>
          </w:tblCellMar>
        </w:tblPrEx>
        <w:trPr>
          <w:trHeight w:val="1295"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大衣</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藏青</w:t>
            </w:r>
          </w:p>
        </w:tc>
        <w:tc>
          <w:tcPr>
            <w:tcW w:w="3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面料：70%羊毛30%羊绒</w:t>
            </w:r>
          </w:p>
          <w:p>
            <w:pPr>
              <w:jc w:val="center"/>
              <w:rPr>
                <w:rFonts w:ascii="仿宋" w:hAnsi="仿宋" w:eastAsia="仿宋" w:cs="仿宋"/>
                <w:color w:val="000000"/>
                <w:sz w:val="24"/>
                <w:szCs w:val="24"/>
              </w:rPr>
            </w:pPr>
            <w:r>
              <w:rPr>
                <w:rFonts w:hint="eastAsia" w:ascii="仿宋" w:hAnsi="仿宋" w:eastAsia="仿宋" w:cs="仿宋"/>
                <w:color w:val="000000"/>
                <w:sz w:val="24"/>
                <w:szCs w:val="24"/>
              </w:rPr>
              <w:t>纱支：14/1*14/1</w:t>
            </w:r>
          </w:p>
          <w:p>
            <w:pPr>
              <w:pStyle w:val="2"/>
              <w:ind w:firstLine="360" w:firstLineChars="150"/>
              <w:rPr>
                <w:rFonts w:ascii="仿宋" w:hAnsi="仿宋" w:eastAsia="仿宋" w:cs="仿宋"/>
                <w:sz w:val="24"/>
                <w:szCs w:val="24"/>
              </w:rPr>
            </w:pPr>
            <w:r>
              <w:rPr>
                <w:rFonts w:hint="eastAsia" w:ascii="仿宋" w:hAnsi="仿宋" w:eastAsia="仿宋" w:cs="仿宋"/>
                <w:sz w:val="24"/>
                <w:szCs w:val="24"/>
              </w:rPr>
              <w:t>克重：450g/m</w:t>
            </w:r>
          </w:p>
        </w:tc>
        <w:tc>
          <w:tcPr>
            <w:tcW w:w="2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西服领</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提供成衣检测报告</w:t>
            </w:r>
          </w:p>
        </w:tc>
      </w:tr>
      <w:tr>
        <w:tblPrEx>
          <w:tblCellMar>
            <w:top w:w="15" w:type="dxa"/>
            <w:left w:w="15" w:type="dxa"/>
            <w:bottom w:w="15" w:type="dxa"/>
            <w:right w:w="15" w:type="dxa"/>
          </w:tblCellMar>
        </w:tblPrEx>
        <w:trPr>
          <w:trHeight w:val="1009"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长衬衣</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白色</w:t>
            </w:r>
          </w:p>
        </w:tc>
        <w:tc>
          <w:tcPr>
            <w:tcW w:w="31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100%棉 (士5%)，单位面积质量≥180g/㎡， 甲醛含量≤75g/㎡，pH值5-8，起球等级≥4，耐水色牢度≥4级。免烫级别3.5级以上</w:t>
            </w:r>
          </w:p>
        </w:tc>
        <w:tc>
          <w:tcPr>
            <w:tcW w:w="26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长袖：小方领，下摆为下摆圆摆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短袖：小方领，下摆为下摆圆摆</w:t>
            </w:r>
            <w:r>
              <w:rPr>
                <w:rFonts w:hint="eastAsia" w:ascii="仿宋" w:hAnsi="仿宋" w:eastAsia="仿宋" w:cs="仿宋"/>
                <w:color w:val="000000"/>
                <w:sz w:val="24"/>
                <w:szCs w:val="24"/>
              </w:rPr>
              <w:br w:type="textWrapping"/>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提供成衣检测报告</w:t>
            </w:r>
          </w:p>
        </w:tc>
      </w:tr>
      <w:tr>
        <w:tblPrEx>
          <w:tblCellMar>
            <w:top w:w="15" w:type="dxa"/>
            <w:left w:w="15" w:type="dxa"/>
            <w:bottom w:w="15" w:type="dxa"/>
            <w:right w:w="15" w:type="dxa"/>
          </w:tblCellMar>
        </w:tblPrEx>
        <w:trPr>
          <w:trHeight w:val="1009"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短衬衣</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白色</w:t>
            </w:r>
          </w:p>
        </w:tc>
        <w:tc>
          <w:tcPr>
            <w:tcW w:w="31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p>
        </w:tc>
        <w:tc>
          <w:tcPr>
            <w:tcW w:w="26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371"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夏裤</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藏青</w:t>
            </w:r>
          </w:p>
        </w:tc>
        <w:tc>
          <w:tcPr>
            <w:tcW w:w="3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面料50%羊毛40%聚酯纤维10%天丝 (±5%),单位面积质量≥225g/m²，甲醛含量≤75g/m²，pH值5-8，起球等级≥4，耐水色牢度≥4级</w:t>
            </w:r>
          </w:p>
        </w:tc>
        <w:tc>
          <w:tcPr>
            <w:tcW w:w="26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 xml:space="preserve">直筒西装裤，无裥裤 </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提供成衣检测报告</w:t>
            </w:r>
          </w:p>
        </w:tc>
      </w:tr>
    </w:tbl>
    <w:p>
      <w:pPr>
        <w:spacing w:line="360" w:lineRule="auto"/>
        <w:rPr>
          <w:rFonts w:ascii="仿宋" w:hAnsi="仿宋" w:eastAsia="仿宋" w:cs="仿宋"/>
          <w:color w:val="C00000"/>
          <w:sz w:val="28"/>
          <w:szCs w:val="28"/>
        </w:rPr>
      </w:pPr>
      <w:r>
        <w:rPr>
          <w:rFonts w:hint="eastAsia" w:ascii="仿宋" w:hAnsi="仿宋" w:eastAsia="仿宋" w:cs="仿宋"/>
          <w:sz w:val="28"/>
          <w:szCs w:val="28"/>
        </w:rPr>
        <w:t>注：</w:t>
      </w:r>
      <w:r>
        <w:rPr>
          <w:rFonts w:hint="eastAsia" w:ascii="仿宋" w:hAnsi="仿宋" w:eastAsia="仿宋" w:cs="仿宋"/>
          <w:color w:val="C00000"/>
          <w:sz w:val="28"/>
          <w:szCs w:val="28"/>
        </w:rPr>
        <w:t>出具检测报告，对应的检测报告放在投标书里。</w:t>
      </w:r>
    </w:p>
    <w:p>
      <w:pPr>
        <w:spacing w:line="360" w:lineRule="auto"/>
        <w:rPr>
          <w:rFonts w:ascii="仿宋" w:hAnsi="仿宋" w:eastAsia="仿宋" w:cs="仿宋"/>
          <w:b/>
          <w:bCs/>
          <w:sz w:val="28"/>
          <w:szCs w:val="28"/>
        </w:rPr>
      </w:pPr>
      <w:r>
        <w:rPr>
          <w:rFonts w:hint="eastAsia" w:ascii="仿宋" w:hAnsi="仿宋" w:eastAsia="仿宋" w:cs="仿宋"/>
          <w:b/>
          <w:bCs/>
          <w:sz w:val="28"/>
          <w:szCs w:val="28"/>
        </w:rPr>
        <w:t>三、其他说明</w:t>
      </w:r>
    </w:p>
    <w:p>
      <w:pPr>
        <w:spacing w:line="360" w:lineRule="auto"/>
        <w:rPr>
          <w:rFonts w:ascii="仿宋" w:hAnsi="仿宋" w:eastAsia="仿宋" w:cs="仿宋"/>
          <w:color w:val="FF0000"/>
          <w:sz w:val="28"/>
          <w:szCs w:val="28"/>
        </w:rPr>
      </w:pPr>
      <w:r>
        <w:rPr>
          <w:rFonts w:hint="eastAsia" w:ascii="仿宋" w:hAnsi="仿宋" w:eastAsia="仿宋" w:cs="仿宋"/>
          <w:color w:val="FF0000"/>
          <w:sz w:val="28"/>
          <w:szCs w:val="28"/>
        </w:rPr>
        <w:t>3.1评审过程中，招标人认为投标人都达不到采购要求时，可以不选择任何一家投标单位；</w:t>
      </w:r>
      <w:r>
        <w:rPr>
          <w:rFonts w:hint="eastAsia" w:ascii="仿宋" w:hAnsi="仿宋" w:eastAsia="仿宋" w:cs="仿宋"/>
          <w:color w:val="FF0000"/>
          <w:sz w:val="28"/>
          <w:szCs w:val="28"/>
        </w:rPr>
        <w:br w:type="textWrapping"/>
      </w:r>
      <w:r>
        <w:rPr>
          <w:rFonts w:hint="eastAsia" w:ascii="仿宋" w:hAnsi="仿宋" w:eastAsia="仿宋" w:cs="仿宋"/>
          <w:color w:val="FF0000"/>
          <w:sz w:val="28"/>
          <w:szCs w:val="28"/>
        </w:rPr>
        <w:t>3.2所需采购的服装具体样式、规格需经招标人确认同意后方可进行设计、生产或采购。</w:t>
      </w:r>
    </w:p>
    <w:p>
      <w:pPr>
        <w:spacing w:line="360" w:lineRule="auto"/>
        <w:rPr>
          <w:rFonts w:ascii="仿宋" w:hAnsi="仿宋" w:eastAsia="仿宋" w:cs="仿宋"/>
          <w:sz w:val="28"/>
          <w:szCs w:val="28"/>
        </w:rPr>
      </w:pPr>
      <w:r>
        <w:rPr>
          <w:rFonts w:hint="eastAsia" w:ascii="仿宋" w:hAnsi="仿宋" w:eastAsia="仿宋" w:cs="仿宋"/>
          <w:sz w:val="28"/>
          <w:szCs w:val="28"/>
        </w:rPr>
        <w:t>3.3中标后，标的物材质不得改变。在成交单价不变的前提下，各标的物的颜色、尺码由采购单位确定。中标单位自行承担相关费用，采购单位不予考虑。</w:t>
      </w:r>
    </w:p>
    <w:p>
      <w:pPr>
        <w:spacing w:line="360" w:lineRule="auto"/>
        <w:rPr>
          <w:rFonts w:ascii="仿宋" w:hAnsi="仿宋" w:eastAsia="仿宋" w:cs="仿宋"/>
          <w:sz w:val="28"/>
          <w:szCs w:val="28"/>
        </w:rPr>
      </w:pPr>
      <w:r>
        <w:rPr>
          <w:rFonts w:hint="eastAsia" w:ascii="仿宋" w:hAnsi="仿宋" w:eastAsia="仿宋" w:cs="仿宋"/>
          <w:sz w:val="28"/>
          <w:szCs w:val="28"/>
        </w:rPr>
        <w:t>3.4投标单位必须至采购单位处现场量衣服尺寸，中标单位自行承担相关费用，采购单位不予考虑。</w:t>
      </w:r>
    </w:p>
    <w:p>
      <w:pPr>
        <w:spacing w:line="360" w:lineRule="auto"/>
        <w:rPr>
          <w:rFonts w:ascii="仿宋" w:hAnsi="仿宋" w:eastAsia="仿宋" w:cs="仿宋"/>
          <w:color w:val="FF0000"/>
          <w:sz w:val="28"/>
          <w:szCs w:val="28"/>
        </w:rPr>
      </w:pPr>
      <w:r>
        <w:rPr>
          <w:rFonts w:hint="eastAsia" w:ascii="仿宋" w:hAnsi="仿宋" w:eastAsia="仿宋" w:cs="仿宋"/>
          <w:color w:val="FF0000"/>
          <w:sz w:val="28"/>
          <w:szCs w:val="28"/>
        </w:rPr>
        <w:t>3.5出样清单：大衣1件(男女不限，)，长衬衣一件(男女不限)，夏裤一条(男女不限，)。</w:t>
      </w:r>
    </w:p>
    <w:p>
      <w:pPr>
        <w:spacing w:line="360" w:lineRule="auto"/>
        <w:rPr>
          <w:rFonts w:ascii="仿宋" w:hAnsi="仿宋" w:eastAsia="仿宋" w:cs="仿宋"/>
          <w:sz w:val="28"/>
          <w:szCs w:val="28"/>
        </w:rPr>
      </w:pPr>
      <w:r>
        <w:rPr>
          <w:rFonts w:hint="eastAsia" w:ascii="仿宋" w:hAnsi="仿宋" w:eastAsia="仿宋" w:cs="仿宋"/>
          <w:sz w:val="28"/>
          <w:szCs w:val="28"/>
        </w:rPr>
        <w:t>3.6样品出样的时间：开标截止时间前与响应文件同时递交。</w:t>
      </w:r>
    </w:p>
    <w:p>
      <w:pPr>
        <w:spacing w:line="360" w:lineRule="auto"/>
        <w:rPr>
          <w:rFonts w:ascii="仿宋" w:hAnsi="仿宋" w:eastAsia="仿宋" w:cs="仿宋"/>
          <w:color w:val="FF0000"/>
          <w:sz w:val="28"/>
          <w:szCs w:val="28"/>
        </w:rPr>
      </w:pPr>
      <w:r>
        <w:rPr>
          <w:rFonts w:hint="eastAsia" w:ascii="仿宋" w:hAnsi="仿宋" w:eastAsia="仿宋" w:cs="仿宋"/>
          <w:color w:val="FF0000"/>
          <w:sz w:val="28"/>
          <w:szCs w:val="28"/>
        </w:rPr>
        <w:t>3.7出样地点：南京市溧水区物资大厦7楼会议室</w:t>
      </w:r>
    </w:p>
    <w:p>
      <w:pPr>
        <w:spacing w:line="360" w:lineRule="auto"/>
        <w:rPr>
          <w:rFonts w:ascii="仿宋" w:hAnsi="仿宋" w:eastAsia="仿宋" w:cs="仿宋"/>
          <w:sz w:val="28"/>
          <w:szCs w:val="28"/>
        </w:rPr>
      </w:pPr>
      <w:r>
        <w:rPr>
          <w:rFonts w:hint="eastAsia" w:ascii="仿宋" w:hAnsi="仿宋" w:eastAsia="仿宋" w:cs="仿宋"/>
          <w:sz w:val="28"/>
          <w:szCs w:val="28"/>
        </w:rPr>
        <w:t>3.8供应商按照标的物清单中的材质、技术要求制作样品，样品上须有投标单位名称标签。</w:t>
      </w:r>
    </w:p>
    <w:p>
      <w:pPr>
        <w:spacing w:line="360" w:lineRule="auto"/>
        <w:rPr>
          <w:rFonts w:ascii="仿宋" w:hAnsi="仿宋" w:eastAsia="仿宋" w:cs="仿宋"/>
          <w:sz w:val="28"/>
          <w:szCs w:val="28"/>
        </w:rPr>
      </w:pPr>
      <w:r>
        <w:rPr>
          <w:rFonts w:hint="eastAsia" w:ascii="仿宋" w:hAnsi="仿宋" w:eastAsia="仿宋" w:cs="仿宋"/>
          <w:sz w:val="28"/>
          <w:szCs w:val="28"/>
        </w:rPr>
        <w:t>4、技术性能参数要求：</w:t>
      </w:r>
    </w:p>
    <w:p>
      <w:pPr>
        <w:spacing w:line="360" w:lineRule="auto"/>
        <w:rPr>
          <w:rFonts w:ascii="仿宋" w:hAnsi="仿宋" w:eastAsia="仿宋" w:cs="仿宋"/>
          <w:sz w:val="28"/>
          <w:szCs w:val="28"/>
        </w:rPr>
      </w:pPr>
      <w:r>
        <w:rPr>
          <w:rFonts w:hint="eastAsia" w:ascii="仿宋" w:hAnsi="仿宋" w:eastAsia="仿宋" w:cs="仿宋"/>
          <w:sz w:val="28"/>
          <w:szCs w:val="28"/>
        </w:rPr>
        <w:t>4.1服装、标志标识、装备的技术性能参数不得低于清单中的要求。</w:t>
      </w:r>
    </w:p>
    <w:p>
      <w:pPr>
        <w:spacing w:line="360" w:lineRule="auto"/>
        <w:rPr>
          <w:rFonts w:ascii="仿宋" w:hAnsi="仿宋" w:eastAsia="仿宋" w:cs="仿宋"/>
          <w:sz w:val="28"/>
          <w:szCs w:val="28"/>
        </w:rPr>
      </w:pPr>
      <w:r>
        <w:rPr>
          <w:rFonts w:hint="eastAsia" w:ascii="仿宋" w:hAnsi="仿宋" w:eastAsia="仿宋" w:cs="仿宋"/>
          <w:sz w:val="28"/>
          <w:szCs w:val="28"/>
        </w:rPr>
        <w:t>4.2供应商须保证本次采购货物系优质材料和先进工艺制作的，且完全与响应文件中所述的质量、规格、性能及制造厂商相符。</w:t>
      </w:r>
    </w:p>
    <w:p>
      <w:pPr>
        <w:spacing w:line="360" w:lineRule="auto"/>
        <w:rPr>
          <w:rFonts w:ascii="仿宋" w:hAnsi="仿宋" w:eastAsia="仿宋" w:cs="仿宋"/>
          <w:sz w:val="28"/>
          <w:szCs w:val="28"/>
        </w:rPr>
      </w:pPr>
      <w:r>
        <w:rPr>
          <w:rFonts w:hint="eastAsia" w:ascii="仿宋" w:hAnsi="仿宋" w:eastAsia="仿宋" w:cs="仿宋"/>
          <w:sz w:val="28"/>
          <w:szCs w:val="28"/>
        </w:rPr>
        <w:t>4.3服务要求：提供现场量身裁衣，不得进行转包。对所提供的产品负责质量“三包”直至满足采购单位要求；面料要求布身紧密、匀净、织纹清晰、手感柔软、挺括抗皱、耐穿、易洗快干、弹性好、牢度高、吸湿透气、不褪色；服装要求抗皱、耐磨耐脏、不起毛、不褪色、易护理。</w:t>
      </w:r>
    </w:p>
    <w:p>
      <w:pPr>
        <w:spacing w:line="360" w:lineRule="auto"/>
        <w:rPr>
          <w:rFonts w:ascii="仿宋" w:hAnsi="仿宋" w:eastAsia="仿宋" w:cs="仿宋"/>
          <w:sz w:val="28"/>
          <w:szCs w:val="28"/>
        </w:rPr>
      </w:pPr>
      <w:r>
        <w:rPr>
          <w:rFonts w:hint="eastAsia" w:ascii="仿宋" w:hAnsi="仿宋" w:eastAsia="仿宋" w:cs="仿宋"/>
          <w:sz w:val="28"/>
          <w:szCs w:val="28"/>
        </w:rPr>
        <w:t>4.4款式全部按采购人要求。</w:t>
      </w:r>
    </w:p>
    <w:p>
      <w:pPr>
        <w:spacing w:line="360" w:lineRule="auto"/>
        <w:rPr>
          <w:rFonts w:ascii="仿宋" w:hAnsi="仿宋" w:eastAsia="仿宋" w:cs="仿宋"/>
          <w:sz w:val="28"/>
          <w:szCs w:val="28"/>
        </w:rPr>
      </w:pPr>
      <w:r>
        <w:rPr>
          <w:rFonts w:hint="eastAsia" w:ascii="仿宋" w:hAnsi="仿宋" w:eastAsia="仿宋" w:cs="仿宋"/>
          <w:sz w:val="28"/>
          <w:szCs w:val="28"/>
        </w:rPr>
        <w:t>4.5生产标准要求：按国家相关标准执行。</w:t>
      </w:r>
    </w:p>
    <w:p>
      <w:pPr>
        <w:spacing w:line="360" w:lineRule="auto"/>
        <w:rPr>
          <w:rFonts w:ascii="仿宋" w:hAnsi="仿宋" w:eastAsia="仿宋" w:cs="仿宋"/>
          <w:sz w:val="28"/>
          <w:szCs w:val="28"/>
        </w:rPr>
      </w:pPr>
      <w:r>
        <w:rPr>
          <w:rFonts w:hint="eastAsia" w:ascii="仿宋" w:hAnsi="仿宋" w:eastAsia="仿宋" w:cs="仿宋"/>
          <w:sz w:val="28"/>
          <w:szCs w:val="28"/>
        </w:rPr>
        <w:t>5综合说明及其它要求：</w:t>
      </w:r>
    </w:p>
    <w:p>
      <w:pPr>
        <w:spacing w:line="360" w:lineRule="auto"/>
        <w:rPr>
          <w:rFonts w:ascii="仿宋" w:hAnsi="仿宋" w:eastAsia="仿宋" w:cs="仿宋"/>
          <w:sz w:val="28"/>
          <w:szCs w:val="28"/>
        </w:rPr>
      </w:pPr>
      <w:r>
        <w:rPr>
          <w:rFonts w:hint="eastAsia" w:ascii="仿宋" w:hAnsi="仿宋" w:eastAsia="仿宋" w:cs="仿宋"/>
          <w:sz w:val="28"/>
          <w:szCs w:val="28"/>
        </w:rPr>
        <w:t>5.1供应商所投产品必须明确所投产品的品牌、型号、规格和外形、尺寸、重量及一些必须说明的技术参数，否则将可能导致其响应文件被评标委员会拒绝。</w:t>
      </w:r>
    </w:p>
    <w:p>
      <w:pPr>
        <w:spacing w:line="360" w:lineRule="auto"/>
        <w:rPr>
          <w:rFonts w:ascii="仿宋" w:hAnsi="仿宋" w:eastAsia="仿宋" w:cs="仿宋"/>
          <w:sz w:val="28"/>
          <w:szCs w:val="28"/>
        </w:rPr>
      </w:pPr>
      <w:r>
        <w:rPr>
          <w:rFonts w:hint="eastAsia" w:ascii="仿宋" w:hAnsi="仿宋" w:eastAsia="仿宋" w:cs="仿宋"/>
          <w:sz w:val="28"/>
          <w:szCs w:val="28"/>
        </w:rPr>
        <w:t>5.2供应商必须承诺文件中提出的全部技术规格与要求，如果其中某些条款不响应时，应在文件中逐条列出，未列出的视同响应。</w:t>
      </w:r>
    </w:p>
    <w:p>
      <w:pPr>
        <w:pStyle w:val="36"/>
        <w:spacing w:line="360" w:lineRule="auto"/>
        <w:rPr>
          <w:rFonts w:ascii="仿宋" w:hAnsi="仿宋" w:eastAsia="仿宋" w:cs="仿宋"/>
          <w:szCs w:val="28"/>
          <w:highlight w:val="yellow"/>
        </w:rPr>
      </w:pPr>
      <w:r>
        <w:rPr>
          <w:rFonts w:hint="eastAsia" w:ascii="仿宋" w:hAnsi="仿宋" w:eastAsia="仿宋" w:cs="仿宋"/>
          <w:szCs w:val="28"/>
        </w:rPr>
        <w:t>5.3报价包括全部货物及其包装、运输、装卸、保险费（指货物运抵现场所发生的费用）、税费及国家规定的一切费用及质保期间一切费用等。</w:t>
      </w:r>
    </w:p>
    <w:p>
      <w:pPr>
        <w:spacing w:line="360" w:lineRule="auto"/>
        <w:rPr>
          <w:rFonts w:ascii="仿宋" w:hAnsi="仿宋" w:eastAsia="仿宋" w:cs="仿宋"/>
          <w:sz w:val="28"/>
          <w:szCs w:val="28"/>
        </w:rPr>
      </w:pPr>
      <w:r>
        <w:rPr>
          <w:rFonts w:hint="eastAsia" w:ascii="仿宋" w:hAnsi="仿宋" w:eastAsia="仿宋" w:cs="仿宋"/>
          <w:sz w:val="28"/>
          <w:szCs w:val="28"/>
        </w:rPr>
        <w:t>5.4</w:t>
      </w:r>
      <w:bookmarkStart w:id="0" w:name="OLE_LINK1"/>
      <w:bookmarkStart w:id="1" w:name="OLE_LINK3"/>
      <w:r>
        <w:rPr>
          <w:rFonts w:hint="eastAsia" w:ascii="仿宋" w:hAnsi="仿宋" w:eastAsia="仿宋" w:cs="仿宋"/>
          <w:sz w:val="28"/>
          <w:szCs w:val="28"/>
        </w:rPr>
        <w:t>合同签订并生效后30日内供完所有供货，且无退换（包括因瑕疵或尺码不符造成的退换货），否则视为逾期，按照逾期交货部分货款的每天万分之四支付逾期交货违约金，逾期超过十五天视为不能交货，采购单位有权终止合同并退还已交的货物，所有损失由中标单位承担。中标单位交货另需按本次采购数量的10%，提供每个品种的货物作为备用服，待中标单位供货完成在三个月内无任何问题后退还。</w:t>
      </w:r>
    </w:p>
    <w:bookmarkEnd w:id="0"/>
    <w:bookmarkEnd w:id="1"/>
    <w:p>
      <w:pPr>
        <w:spacing w:line="360" w:lineRule="auto"/>
        <w:rPr>
          <w:rFonts w:ascii="仿宋" w:hAnsi="仿宋" w:eastAsia="仿宋" w:cs="仿宋"/>
          <w:sz w:val="28"/>
          <w:szCs w:val="28"/>
        </w:rPr>
      </w:pPr>
      <w:r>
        <w:rPr>
          <w:rFonts w:hint="eastAsia" w:ascii="仿宋" w:hAnsi="仿宋" w:eastAsia="仿宋" w:cs="仿宋"/>
          <w:sz w:val="28"/>
          <w:szCs w:val="28"/>
        </w:rPr>
        <w:t>5.5交货地点：采购单位指定地点。</w:t>
      </w:r>
    </w:p>
    <w:p>
      <w:pPr>
        <w:spacing w:line="360" w:lineRule="auto"/>
        <w:rPr>
          <w:rFonts w:ascii="仿宋" w:hAnsi="仿宋" w:eastAsia="仿宋" w:cs="仿宋"/>
          <w:color w:val="FF0000"/>
          <w:sz w:val="28"/>
          <w:szCs w:val="28"/>
        </w:rPr>
      </w:pPr>
      <w:r>
        <w:rPr>
          <w:rFonts w:hint="eastAsia" w:ascii="仿宋" w:hAnsi="仿宋" w:eastAsia="仿宋" w:cs="仿宋"/>
          <w:color w:val="FF0000"/>
          <w:sz w:val="28"/>
          <w:szCs w:val="28"/>
        </w:rPr>
        <w:t>5.6验收标准</w:t>
      </w:r>
      <w:r>
        <w:rPr>
          <w:rFonts w:hint="eastAsia" w:ascii="仿宋" w:hAnsi="仿宋" w:eastAsia="仿宋" w:cs="仿宋"/>
          <w:sz w:val="28"/>
          <w:szCs w:val="28"/>
        </w:rPr>
        <w:t>：</w:t>
      </w:r>
      <w:r>
        <w:rPr>
          <w:rFonts w:hint="eastAsia" w:ascii="仿宋" w:hAnsi="仿宋" w:eastAsia="仿宋" w:cs="仿宋"/>
          <w:color w:val="FF0000"/>
          <w:sz w:val="28"/>
          <w:szCs w:val="28"/>
        </w:rPr>
        <w:t>根据发包文件要求及有关规定由采购方验收，供应商应保证向采购单位提供的商品为全新未使用的原装正品，验收时采购单位有权委托权威机构或专家进行各项检测，如有不符合采购要求，采购单位有权另请其他单位更正，所发生的检测及更正服装费用由成交单位承担。</w:t>
      </w:r>
    </w:p>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5.7售后服务：根据国家行业标准规定和发包文件执行，免费质保不低于1年,成交供应商应以优良的服务态度，便利、快捷的方式在2小时内响应，4小时内提出解决方案。返工或重做时间不超过10天。</w:t>
      </w:r>
    </w:p>
    <w:p>
      <w:pPr>
        <w:spacing w:line="360" w:lineRule="auto"/>
        <w:rPr>
          <w:rFonts w:ascii="仿宋" w:hAnsi="仿宋" w:eastAsia="仿宋" w:cs="仿宋"/>
          <w:sz w:val="28"/>
          <w:szCs w:val="28"/>
        </w:rPr>
      </w:pPr>
      <w:r>
        <w:rPr>
          <w:rFonts w:hint="eastAsia" w:ascii="仿宋" w:hAnsi="仿宋" w:eastAsia="仿宋" w:cs="仿宋"/>
          <w:sz w:val="28"/>
          <w:szCs w:val="28"/>
        </w:rPr>
        <w:t>5.8付款方式</w:t>
      </w:r>
    </w:p>
    <w:p>
      <w:pPr>
        <w:spacing w:line="360" w:lineRule="auto"/>
        <w:rPr>
          <w:rFonts w:ascii="仿宋" w:hAnsi="仿宋" w:eastAsia="仿宋" w:cs="仿宋"/>
          <w:sz w:val="28"/>
          <w:szCs w:val="28"/>
        </w:rPr>
      </w:pPr>
      <w:r>
        <w:rPr>
          <w:rFonts w:hint="eastAsia" w:ascii="仿宋" w:hAnsi="仿宋" w:eastAsia="仿宋" w:cs="仿宋"/>
          <w:sz w:val="28"/>
          <w:szCs w:val="28"/>
        </w:rPr>
        <w:t>⑴服装设计深化方案经采购人确认后支付合同价的30%，</w:t>
      </w:r>
    </w:p>
    <w:p>
      <w:pPr>
        <w:spacing w:line="360" w:lineRule="auto"/>
        <w:rPr>
          <w:rFonts w:ascii="仿宋" w:hAnsi="仿宋" w:eastAsia="仿宋" w:cs="仿宋"/>
          <w:sz w:val="28"/>
          <w:szCs w:val="28"/>
        </w:rPr>
      </w:pPr>
      <w:r>
        <w:rPr>
          <w:rFonts w:hint="eastAsia" w:ascii="仿宋" w:hAnsi="仿宋" w:eastAsia="仿宋" w:cs="仿宋"/>
          <w:sz w:val="28"/>
          <w:szCs w:val="28"/>
        </w:rPr>
        <w:t>⑵全部供货服装运至采购人处、经采购人接收后付至合同价的70%；</w:t>
      </w:r>
    </w:p>
    <w:p>
      <w:pPr>
        <w:spacing w:line="360" w:lineRule="auto"/>
        <w:rPr>
          <w:rFonts w:ascii="仿宋" w:hAnsi="仿宋" w:eastAsia="仿宋" w:cs="仿宋"/>
          <w:sz w:val="28"/>
          <w:szCs w:val="28"/>
        </w:rPr>
      </w:pPr>
      <w:r>
        <w:rPr>
          <w:rFonts w:hint="eastAsia" w:ascii="仿宋" w:hAnsi="仿宋" w:eastAsia="仿宋" w:cs="仿宋"/>
          <w:sz w:val="28"/>
          <w:szCs w:val="28"/>
        </w:rPr>
        <w:t>⑶服装全部调换结束、办理验收合格手续后付至合同价的95%；</w:t>
      </w:r>
    </w:p>
    <w:p>
      <w:pPr>
        <w:spacing w:line="360" w:lineRule="auto"/>
        <w:rPr>
          <w:rFonts w:ascii="仿宋" w:hAnsi="仿宋" w:eastAsia="仿宋" w:cs="仿宋"/>
          <w:sz w:val="28"/>
          <w:szCs w:val="28"/>
        </w:rPr>
      </w:pPr>
      <w:r>
        <w:rPr>
          <w:rFonts w:hint="eastAsia" w:ascii="仿宋" w:hAnsi="仿宋" w:eastAsia="仿宋" w:cs="仿宋"/>
          <w:sz w:val="28"/>
          <w:szCs w:val="28"/>
        </w:rPr>
        <w:t>⑷剩余5%作为质保金一年后无息付清</w:t>
      </w:r>
    </w:p>
    <w:p>
      <w:pPr>
        <w:spacing w:line="360" w:lineRule="auto"/>
        <w:rPr>
          <w:rFonts w:ascii="仿宋" w:hAnsi="仿宋" w:eastAsia="仿宋" w:cs="仿宋"/>
          <w:sz w:val="28"/>
          <w:szCs w:val="28"/>
        </w:rPr>
      </w:pPr>
    </w:p>
    <w:p>
      <w:pPr>
        <w:tabs>
          <w:tab w:val="left" w:pos="0"/>
          <w:tab w:val="left" w:pos="993"/>
          <w:tab w:val="left" w:pos="1134"/>
        </w:tabs>
        <w:adjustRightInd w:val="0"/>
        <w:snapToGrid w:val="0"/>
        <w:spacing w:line="360" w:lineRule="auto"/>
        <w:ind w:firstLine="600" w:firstLineChars="200"/>
        <w:rPr>
          <w:rFonts w:ascii="仿宋" w:hAnsi="仿宋" w:eastAsia="仿宋"/>
          <w:snapToGrid w:val="0"/>
          <w:color w:val="FF0000"/>
          <w:sz w:val="30"/>
        </w:rPr>
      </w:pPr>
    </w:p>
    <w:p>
      <w:pPr>
        <w:pStyle w:val="5"/>
        <w:rPr>
          <w:rFonts w:ascii="仿宋" w:hAnsi="仿宋" w:eastAsia="仿宋"/>
          <w:snapToGrid w:val="0"/>
          <w:color w:val="FF0000"/>
          <w:sz w:val="30"/>
        </w:rPr>
      </w:pPr>
    </w:p>
    <w:p>
      <w:pPr>
        <w:rPr>
          <w:rFonts w:ascii="仿宋" w:hAnsi="仿宋" w:eastAsia="仿宋"/>
          <w:snapToGrid w:val="0"/>
          <w:color w:val="FF0000"/>
          <w:sz w:val="30"/>
        </w:rPr>
      </w:pPr>
    </w:p>
    <w:p>
      <w:pPr>
        <w:pStyle w:val="5"/>
        <w:rPr>
          <w:rFonts w:ascii="仿宋" w:hAnsi="仿宋" w:eastAsia="仿宋"/>
          <w:snapToGrid w:val="0"/>
          <w:color w:val="FF0000"/>
          <w:sz w:val="30"/>
        </w:rPr>
      </w:pPr>
    </w:p>
    <w:p>
      <w:pPr>
        <w:rPr>
          <w:rFonts w:ascii="仿宋" w:hAnsi="仿宋" w:eastAsia="仿宋"/>
          <w:snapToGrid w:val="0"/>
          <w:color w:val="FF0000"/>
          <w:sz w:val="30"/>
        </w:rPr>
      </w:pPr>
    </w:p>
    <w:p>
      <w:pPr>
        <w:pStyle w:val="5"/>
        <w:rPr>
          <w:rFonts w:ascii="仿宋" w:hAnsi="仿宋" w:eastAsia="仿宋"/>
          <w:snapToGrid w:val="0"/>
          <w:color w:val="FF0000"/>
          <w:sz w:val="30"/>
        </w:rPr>
      </w:pPr>
    </w:p>
    <w:p>
      <w:pPr>
        <w:rPr>
          <w:rFonts w:ascii="仿宋" w:hAnsi="仿宋" w:eastAsia="仿宋"/>
          <w:snapToGrid w:val="0"/>
          <w:color w:val="FF0000"/>
          <w:sz w:val="30"/>
        </w:rPr>
      </w:pPr>
    </w:p>
    <w:p>
      <w:pPr>
        <w:pStyle w:val="5"/>
        <w:rPr>
          <w:rFonts w:ascii="仿宋" w:hAnsi="仿宋" w:eastAsia="仿宋"/>
          <w:snapToGrid w:val="0"/>
          <w:color w:val="FF0000"/>
          <w:sz w:val="30"/>
        </w:rPr>
      </w:pPr>
    </w:p>
    <w:p>
      <w:pPr>
        <w:rPr>
          <w:rFonts w:ascii="仿宋" w:hAnsi="仿宋" w:eastAsia="仿宋"/>
          <w:snapToGrid w:val="0"/>
          <w:color w:val="FF0000"/>
          <w:sz w:val="30"/>
        </w:rPr>
      </w:pPr>
    </w:p>
    <w:p>
      <w:pPr>
        <w:pStyle w:val="5"/>
        <w:rPr>
          <w:rFonts w:ascii="仿宋" w:hAnsi="仿宋" w:eastAsia="仿宋"/>
          <w:snapToGrid w:val="0"/>
          <w:color w:val="FF0000"/>
          <w:sz w:val="30"/>
        </w:rPr>
      </w:pPr>
    </w:p>
    <w:p>
      <w:pPr>
        <w:tabs>
          <w:tab w:val="left" w:pos="0"/>
          <w:tab w:val="left" w:pos="993"/>
          <w:tab w:val="left" w:pos="1134"/>
        </w:tabs>
        <w:adjustRightInd w:val="0"/>
        <w:snapToGrid w:val="0"/>
        <w:spacing w:line="360" w:lineRule="auto"/>
        <w:rPr>
          <w:rFonts w:ascii="仿宋" w:hAnsi="仿宋" w:eastAsia="仿宋" w:cs="宋体"/>
          <w:b/>
          <w:bCs/>
          <w:snapToGrid w:val="0"/>
          <w:sz w:val="48"/>
          <w:szCs w:val="48"/>
        </w:rPr>
        <w:sectPr>
          <w:headerReference r:id="rId3" w:type="default"/>
          <w:footerReference r:id="rId4" w:type="default"/>
          <w:pgSz w:w="11920" w:h="16840"/>
          <w:pgMar w:top="1531" w:right="1134" w:bottom="1247" w:left="1134" w:header="720" w:footer="720" w:gutter="0"/>
          <w:cols w:space="720" w:num="1"/>
          <w:docGrid w:type="lines" w:linePitch="312" w:charSpace="0"/>
        </w:sectPr>
      </w:pPr>
    </w:p>
    <w:p>
      <w:pPr>
        <w:tabs>
          <w:tab w:val="left" w:pos="0"/>
          <w:tab w:val="left" w:pos="993"/>
          <w:tab w:val="left" w:pos="1134"/>
        </w:tabs>
        <w:adjustRightInd w:val="0"/>
        <w:snapToGrid w:val="0"/>
        <w:spacing w:line="360" w:lineRule="auto"/>
        <w:ind w:firstLine="1446" w:firstLineChars="300"/>
        <w:rPr>
          <w:rFonts w:ascii="仿宋" w:hAnsi="仿宋" w:eastAsia="仿宋" w:cs="宋体"/>
          <w:b/>
          <w:bCs/>
          <w:snapToGrid w:val="0"/>
          <w:sz w:val="48"/>
          <w:szCs w:val="48"/>
        </w:rPr>
      </w:pPr>
      <w:r>
        <w:rPr>
          <w:rFonts w:hint="eastAsia" w:ascii="仿宋" w:hAnsi="仿宋" w:eastAsia="仿宋" w:cs="宋体"/>
          <w:b/>
          <w:bCs/>
          <w:snapToGrid w:val="0"/>
          <w:sz w:val="48"/>
          <w:szCs w:val="48"/>
        </w:rPr>
        <w:t>第三章、投标文件的评审</w:t>
      </w:r>
    </w:p>
    <w:p>
      <w:pPr>
        <w:tabs>
          <w:tab w:val="left" w:pos="0"/>
          <w:tab w:val="left" w:pos="993"/>
          <w:tab w:val="left" w:pos="1134"/>
        </w:tabs>
        <w:adjustRightInd w:val="0"/>
        <w:snapToGrid w:val="0"/>
        <w:spacing w:line="360" w:lineRule="auto"/>
        <w:rPr>
          <w:rFonts w:ascii="仿宋" w:hAnsi="仿宋" w:eastAsia="仿宋"/>
          <w:b/>
          <w:bCs/>
          <w:snapToGrid w:val="0"/>
          <w:sz w:val="28"/>
        </w:rPr>
      </w:pPr>
      <w:r>
        <w:rPr>
          <w:rFonts w:hint="eastAsia" w:ascii="仿宋" w:hAnsi="仿宋" w:eastAsia="仿宋"/>
          <w:b/>
          <w:bCs/>
          <w:snapToGrid w:val="0"/>
          <w:sz w:val="28"/>
        </w:rPr>
        <w:t>一、</w:t>
      </w:r>
      <w:r>
        <w:rPr>
          <w:rFonts w:ascii="仿宋" w:hAnsi="仿宋" w:eastAsia="仿宋"/>
          <w:b/>
          <w:bCs/>
          <w:snapToGrid w:val="0"/>
          <w:sz w:val="28"/>
        </w:rPr>
        <w:t>评</w:t>
      </w:r>
      <w:r>
        <w:rPr>
          <w:rFonts w:hint="eastAsia" w:ascii="仿宋" w:hAnsi="仿宋" w:eastAsia="仿宋"/>
          <w:b/>
          <w:bCs/>
          <w:snapToGrid w:val="0"/>
          <w:sz w:val="28"/>
        </w:rPr>
        <w:t>审小组</w:t>
      </w:r>
    </w:p>
    <w:p>
      <w:pPr>
        <w:tabs>
          <w:tab w:val="left" w:pos="0"/>
          <w:tab w:val="left" w:pos="993"/>
          <w:tab w:val="left" w:pos="1134"/>
        </w:tabs>
        <w:adjustRightInd w:val="0"/>
        <w:snapToGrid w:val="0"/>
        <w:spacing w:line="360" w:lineRule="auto"/>
        <w:rPr>
          <w:rFonts w:ascii="仿宋" w:hAnsi="仿宋" w:eastAsia="仿宋"/>
          <w:snapToGrid w:val="0"/>
          <w:sz w:val="28"/>
        </w:rPr>
      </w:pPr>
      <w:r>
        <w:rPr>
          <w:rFonts w:hint="eastAsia" w:ascii="仿宋" w:hAnsi="仿宋" w:eastAsia="仿宋"/>
          <w:snapToGrid w:val="0"/>
          <w:sz w:val="28"/>
        </w:rPr>
        <w:t xml:space="preserve">    评审小组由招标人负责组建。</w:t>
      </w:r>
    </w:p>
    <w:p>
      <w:pPr>
        <w:tabs>
          <w:tab w:val="left" w:pos="0"/>
          <w:tab w:val="left" w:pos="993"/>
          <w:tab w:val="left" w:pos="1134"/>
        </w:tabs>
        <w:adjustRightInd w:val="0"/>
        <w:snapToGrid w:val="0"/>
        <w:spacing w:line="360" w:lineRule="auto"/>
        <w:rPr>
          <w:rFonts w:ascii="仿宋" w:hAnsi="仿宋" w:eastAsia="仿宋"/>
          <w:snapToGrid w:val="0"/>
          <w:sz w:val="28"/>
        </w:rPr>
      </w:pPr>
      <w:r>
        <w:rPr>
          <w:rFonts w:hint="eastAsia" w:ascii="仿宋" w:hAnsi="仿宋" w:eastAsia="仿宋"/>
          <w:b/>
          <w:bCs/>
          <w:snapToGrid w:val="0"/>
          <w:sz w:val="28"/>
        </w:rPr>
        <w:t>二、评标办法及评审</w:t>
      </w:r>
    </w:p>
    <w:p>
      <w:pPr>
        <w:tabs>
          <w:tab w:val="left" w:pos="0"/>
          <w:tab w:val="left" w:pos="993"/>
          <w:tab w:val="left" w:pos="1134"/>
        </w:tabs>
        <w:adjustRightInd w:val="0"/>
        <w:snapToGrid w:val="0"/>
        <w:spacing w:line="360" w:lineRule="auto"/>
        <w:rPr>
          <w:rFonts w:ascii="仿宋" w:hAnsi="仿宋" w:eastAsia="仿宋"/>
          <w:snapToGrid w:val="0"/>
          <w:sz w:val="28"/>
        </w:rPr>
      </w:pPr>
      <w:r>
        <w:rPr>
          <w:rFonts w:hint="eastAsia" w:ascii="仿宋" w:hAnsi="仿宋" w:eastAsia="仿宋"/>
          <w:snapToGrid w:val="0"/>
          <w:sz w:val="28"/>
        </w:rPr>
        <w:t xml:space="preserve">    本次招标评标办法为：综合评估法。</w:t>
      </w:r>
    </w:p>
    <w:p>
      <w:pPr>
        <w:tabs>
          <w:tab w:val="left" w:pos="0"/>
          <w:tab w:val="left" w:pos="1134"/>
        </w:tabs>
        <w:adjustRightInd w:val="0"/>
        <w:snapToGrid w:val="0"/>
        <w:spacing w:line="360" w:lineRule="auto"/>
        <w:ind w:firstLine="560" w:firstLineChars="200"/>
        <w:rPr>
          <w:rFonts w:ascii="仿宋" w:hAnsi="仿宋" w:eastAsia="仿宋"/>
          <w:snapToGrid w:val="0"/>
          <w:sz w:val="28"/>
        </w:rPr>
      </w:pPr>
      <w:r>
        <w:rPr>
          <w:rFonts w:ascii="仿宋" w:hAnsi="仿宋" w:eastAsia="仿宋"/>
          <w:snapToGrid w:val="0"/>
          <w:sz w:val="28"/>
        </w:rPr>
        <w:t>1、评标工作</w:t>
      </w:r>
    </w:p>
    <w:p>
      <w:pPr>
        <w:pStyle w:val="8"/>
        <w:adjustRightInd w:val="0"/>
        <w:snapToGrid w:val="0"/>
        <w:spacing w:line="360" w:lineRule="auto"/>
        <w:rPr>
          <w:rFonts w:ascii="仿宋" w:hAnsi="仿宋" w:eastAsia="仿宋"/>
          <w:snapToGrid w:val="0"/>
        </w:rPr>
      </w:pPr>
      <w:r>
        <w:rPr>
          <w:rFonts w:ascii="仿宋" w:hAnsi="仿宋" w:eastAsia="仿宋"/>
          <w:snapToGrid w:val="0"/>
        </w:rPr>
        <w:t>评标工作由本项目的评标</w:t>
      </w:r>
      <w:r>
        <w:rPr>
          <w:rFonts w:hint="eastAsia" w:ascii="仿宋" w:hAnsi="仿宋" w:eastAsia="仿宋"/>
          <w:snapToGrid w:val="0"/>
        </w:rPr>
        <w:t>小组</w:t>
      </w:r>
      <w:r>
        <w:rPr>
          <w:rFonts w:ascii="仿宋" w:hAnsi="仿宋" w:eastAsia="仿宋"/>
          <w:snapToGrid w:val="0"/>
        </w:rPr>
        <w:t>组织进行。</w:t>
      </w:r>
    </w:p>
    <w:p>
      <w:pPr>
        <w:numPr>
          <w:ilvl w:val="0"/>
          <w:numId w:val="3"/>
        </w:numPr>
        <w:spacing w:line="360" w:lineRule="auto"/>
        <w:ind w:firstLine="570"/>
      </w:pPr>
      <w:r>
        <w:rPr>
          <w:rFonts w:ascii="仿宋" w:hAnsi="仿宋" w:eastAsia="仿宋"/>
          <w:b/>
          <w:sz w:val="28"/>
        </w:rPr>
        <w:t>定标原则</w:t>
      </w:r>
    </w:p>
    <w:p>
      <w:pPr>
        <w:spacing w:line="360" w:lineRule="auto"/>
        <w:ind w:firstLine="600"/>
        <w:rPr>
          <w:rFonts w:ascii="宋体" w:hAnsi="宋体" w:eastAsia="仿宋"/>
          <w:snapToGrid w:val="0"/>
          <w:sz w:val="28"/>
        </w:rPr>
      </w:pPr>
      <w:r>
        <w:rPr>
          <w:rFonts w:hint="eastAsia" w:ascii="仿宋" w:hAnsi="仿宋" w:eastAsia="仿宋"/>
          <w:snapToGrid w:val="0"/>
          <w:sz w:val="28"/>
        </w:rPr>
        <w:t>评标小组成员根据上述评分细则进行打分，并记录在评分表中，最后根据各投标人的总分进行排名，推荐三名中标候选人。</w:t>
      </w:r>
      <w:r>
        <w:rPr>
          <w:rFonts w:hint="eastAsia" w:ascii="宋体" w:hAnsi="宋体" w:eastAsia="仿宋"/>
          <w:snapToGrid w:val="0"/>
          <w:sz w:val="28"/>
        </w:rPr>
        <w:t>  </w:t>
      </w:r>
    </w:p>
    <w:p>
      <w:pPr>
        <w:spacing w:line="360" w:lineRule="auto"/>
        <w:ind w:firstLine="600"/>
        <w:rPr>
          <w:rFonts w:ascii="仿宋" w:hAnsi="仿宋" w:eastAsia="仿宋"/>
          <w:snapToGrid w:val="0"/>
          <w:sz w:val="28"/>
          <w:szCs w:val="22"/>
        </w:rPr>
      </w:pPr>
      <w:r>
        <w:rPr>
          <w:rFonts w:hint="eastAsia" w:ascii="仿宋" w:hAnsi="仿宋" w:eastAsia="仿宋"/>
          <w:snapToGrid w:val="0"/>
          <w:sz w:val="28"/>
          <w:szCs w:val="22"/>
        </w:rPr>
        <w:t>本项目采用综合评分法 总分为:100</w:t>
      </w:r>
    </w:p>
    <w:tbl>
      <w:tblPr>
        <w:tblStyle w:val="19"/>
        <w:tblW w:w="10385" w:type="dxa"/>
        <w:tblInd w:w="-748" w:type="dxa"/>
        <w:tblLayout w:type="fixed"/>
        <w:tblCellMar>
          <w:top w:w="15" w:type="dxa"/>
          <w:left w:w="15" w:type="dxa"/>
          <w:bottom w:w="15" w:type="dxa"/>
          <w:right w:w="15" w:type="dxa"/>
        </w:tblCellMar>
      </w:tblPr>
      <w:tblGrid>
        <w:gridCol w:w="948"/>
        <w:gridCol w:w="828"/>
        <w:gridCol w:w="7844"/>
        <w:gridCol w:w="765"/>
      </w:tblGrid>
      <w:tr>
        <w:tblPrEx>
          <w:tblCellMar>
            <w:top w:w="15" w:type="dxa"/>
            <w:left w:w="15" w:type="dxa"/>
            <w:bottom w:w="15" w:type="dxa"/>
            <w:right w:w="15" w:type="dxa"/>
          </w:tblCellMar>
        </w:tblPrEx>
        <w:trPr>
          <w:trHeight w:val="228" w:hRule="atLeast"/>
        </w:trPr>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8"/>
                <w:szCs w:val="28"/>
              </w:rPr>
            </w:pPr>
            <w:r>
              <w:rPr>
                <w:rFonts w:hint="eastAsia" w:ascii="仿宋" w:hAnsi="仿宋" w:eastAsia="仿宋" w:cs="仿宋"/>
                <w:kern w:val="0"/>
                <w:sz w:val="28"/>
                <w:szCs w:val="28"/>
                <w:lang w:bidi="ar"/>
              </w:rPr>
              <w:t>序号</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8"/>
                <w:szCs w:val="28"/>
              </w:rPr>
            </w:pPr>
            <w:r>
              <w:rPr>
                <w:rFonts w:hint="eastAsia" w:ascii="仿宋" w:hAnsi="仿宋" w:eastAsia="仿宋" w:cs="仿宋"/>
                <w:kern w:val="0"/>
                <w:sz w:val="28"/>
                <w:szCs w:val="28"/>
                <w:lang w:bidi="ar"/>
              </w:rPr>
              <w:t>评分因素</w:t>
            </w:r>
          </w:p>
        </w:tc>
        <w:tc>
          <w:tcPr>
            <w:tcW w:w="78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8"/>
                <w:szCs w:val="28"/>
              </w:rPr>
            </w:pPr>
            <w:r>
              <w:rPr>
                <w:rFonts w:hint="eastAsia" w:ascii="仿宋" w:hAnsi="仿宋" w:eastAsia="仿宋" w:cs="仿宋"/>
                <w:kern w:val="0"/>
                <w:sz w:val="28"/>
                <w:szCs w:val="28"/>
                <w:lang w:bidi="ar"/>
              </w:rPr>
              <w:t>评审标准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8"/>
                <w:szCs w:val="28"/>
              </w:rPr>
            </w:pPr>
            <w:r>
              <w:rPr>
                <w:rFonts w:hint="eastAsia" w:ascii="仿宋" w:hAnsi="仿宋" w:eastAsia="仿宋" w:cs="仿宋"/>
                <w:kern w:val="0"/>
                <w:sz w:val="28"/>
                <w:szCs w:val="28"/>
                <w:lang w:bidi="ar"/>
              </w:rPr>
              <w:t>分值</w:t>
            </w:r>
          </w:p>
        </w:tc>
      </w:tr>
      <w:tr>
        <w:tblPrEx>
          <w:tblCellMar>
            <w:top w:w="15" w:type="dxa"/>
            <w:left w:w="15" w:type="dxa"/>
            <w:bottom w:w="15" w:type="dxa"/>
            <w:right w:w="15" w:type="dxa"/>
          </w:tblCellMar>
        </w:tblPrEx>
        <w:trPr>
          <w:trHeight w:val="1177" w:hRule="atLeast"/>
        </w:trPr>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价格</w:t>
            </w:r>
          </w:p>
        </w:tc>
        <w:tc>
          <w:tcPr>
            <w:tcW w:w="7844"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价格基准分：30分</w:t>
            </w:r>
          </w:p>
          <w:p>
            <w:pPr>
              <w:widowControl/>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1.以有效投标文件的投标报价算术平均值A为基准价；</w:t>
            </w:r>
          </w:p>
          <w:p>
            <w:pPr>
              <w:widowControl/>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2.计算算术平均值A时，若有效投标文件＜7家时，有效投标文件报价全部参与平均值计算；若7≤有效投标文件＜10 家时，应去掉其中的一个最高价和一个最低价；若有效投标文件≥10家，应去掉其中的二个最高价和二个最低价；</w:t>
            </w:r>
          </w:p>
          <w:p>
            <w:pPr>
              <w:widowControl/>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偏差率=100%×（投标人报价－评标基准价）/评标基准价</w:t>
            </w:r>
          </w:p>
          <w:p>
            <w:pPr>
              <w:widowControl/>
              <w:textAlignment w:val="top"/>
              <w:rPr>
                <w:rFonts w:ascii="仿宋" w:hAnsi="仿宋" w:eastAsia="仿宋" w:cs="仿宋"/>
                <w:sz w:val="24"/>
                <w:szCs w:val="24"/>
              </w:rPr>
            </w:pPr>
            <w:r>
              <w:rPr>
                <w:rFonts w:hint="eastAsia" w:ascii="仿宋" w:hAnsi="仿宋" w:eastAsia="仿宋" w:cs="仿宋"/>
                <w:kern w:val="0"/>
                <w:sz w:val="24"/>
                <w:szCs w:val="24"/>
                <w:lang w:bidi="ar"/>
              </w:rPr>
              <w:t>等于评标基准价的得30分，偏离评标基准价的，投标报价每高于评标基准价1%扣0.3分，投标报价每低于评标基准价1%扣0.1分，偏离不足1%的，用插入法计算。</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30</w:t>
            </w:r>
          </w:p>
        </w:tc>
      </w:tr>
      <w:tr>
        <w:tblPrEx>
          <w:tblCellMar>
            <w:top w:w="15" w:type="dxa"/>
            <w:left w:w="15" w:type="dxa"/>
            <w:bottom w:w="15" w:type="dxa"/>
            <w:right w:w="15" w:type="dxa"/>
          </w:tblCellMar>
        </w:tblPrEx>
        <w:trPr>
          <w:trHeight w:val="1433" w:hRule="atLeast"/>
        </w:trPr>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技术</w:t>
            </w:r>
          </w:p>
        </w:tc>
        <w:tc>
          <w:tcPr>
            <w:tcW w:w="7844" w:type="dxa"/>
            <w:tcBorders>
              <w:top w:val="single" w:color="000000" w:sz="4" w:space="0"/>
              <w:left w:val="single" w:color="000000" w:sz="4" w:space="0"/>
              <w:bottom w:val="single" w:color="000000" w:sz="4" w:space="0"/>
              <w:right w:val="single" w:color="000000" w:sz="4" w:space="0"/>
            </w:tcBorders>
          </w:tcPr>
          <w:p>
            <w:pPr>
              <w:widowControl/>
              <w:ind w:firstLine="240" w:firstLineChars="100"/>
              <w:textAlignment w:val="top"/>
              <w:rPr>
                <w:rFonts w:ascii="仿宋" w:hAnsi="仿宋" w:eastAsia="仿宋" w:cs="仿宋"/>
                <w:sz w:val="24"/>
                <w:szCs w:val="24"/>
              </w:rPr>
            </w:pPr>
            <w:r>
              <w:rPr>
                <w:rFonts w:hint="eastAsia" w:ascii="仿宋" w:hAnsi="仿宋" w:eastAsia="仿宋" w:cs="仿宋"/>
                <w:kern w:val="0"/>
                <w:sz w:val="24"/>
                <w:szCs w:val="24"/>
                <w:lang w:bidi="ar"/>
              </w:rPr>
              <w:t>以具有国家认可的检测（检验）资质的机构出具的检验依据为准，根据检测机构出具的服装面料成品检测报告打分。投标产品技术参数符合或高于招标文件要求的得20分，负偏离1项扣2分，直至扣完为止。（出具检测报告，对应的检测报告原件必须与响应文件同时递交，否则不予认可，对应项不得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w:t>
            </w:r>
          </w:p>
        </w:tc>
      </w:tr>
      <w:tr>
        <w:tblPrEx>
          <w:tblCellMar>
            <w:top w:w="15" w:type="dxa"/>
            <w:left w:w="15" w:type="dxa"/>
            <w:bottom w:w="15" w:type="dxa"/>
            <w:right w:w="15" w:type="dxa"/>
          </w:tblCellMar>
        </w:tblPrEx>
        <w:trPr>
          <w:trHeight w:val="600" w:hRule="atLeast"/>
        </w:trPr>
        <w:tc>
          <w:tcPr>
            <w:tcW w:w="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样品质量</w:t>
            </w:r>
          </w:p>
        </w:tc>
        <w:tc>
          <w:tcPr>
            <w:tcW w:w="7844" w:type="dxa"/>
            <w:vMerge w:val="restart"/>
            <w:tcBorders>
              <w:top w:val="single" w:color="000000" w:sz="4" w:space="0"/>
              <w:left w:val="single" w:color="000000" w:sz="4" w:space="0"/>
              <w:bottom w:val="single" w:color="000000" w:sz="4" w:space="0"/>
              <w:right w:val="single" w:color="000000" w:sz="4" w:space="0"/>
            </w:tcBorders>
          </w:tcPr>
          <w:p>
            <w:pPr>
              <w:widowControl/>
              <w:ind w:firstLine="42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根据供应商所投样品的外观质量，面料、辅料、配件，款式、尺寸，功能性、舒适性、安全性，样品与投标文件技术指标的一致性等进行综合比较评分。由评委在各投标人之前进行横向比较后分档给分，未提供样品的不得分。</w:t>
            </w:r>
          </w:p>
          <w:p>
            <w:pPr>
              <w:widowControl/>
              <w:jc w:val="left"/>
              <w:textAlignment w:val="top"/>
              <w:rPr>
                <w:rFonts w:ascii="仿宋" w:hAnsi="仿宋" w:eastAsia="仿宋" w:cs="仿宋"/>
                <w:sz w:val="24"/>
                <w:szCs w:val="24"/>
              </w:rPr>
            </w:pPr>
            <w:r>
              <w:rPr>
                <w:rFonts w:hint="eastAsia" w:ascii="仿宋" w:hAnsi="仿宋" w:eastAsia="仿宋" w:cs="仿宋"/>
                <w:kern w:val="0"/>
                <w:sz w:val="24"/>
                <w:szCs w:val="24"/>
                <w:lang w:bidi="ar"/>
              </w:rPr>
              <w:t>3.1做工（服装制作工艺）比较，优得3分，良得2分，一般得1分，</w:t>
            </w:r>
            <w:r>
              <w:rPr>
                <w:rFonts w:hint="eastAsia" w:ascii="仿宋" w:hAnsi="仿宋" w:eastAsia="仿宋" w:cs="仿宋"/>
                <w:sz w:val="24"/>
                <w:szCs w:val="24"/>
              </w:rPr>
              <w:t>差不得分。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3.2产品的款式及成衣的整洁度（整烫定型，外观疵点、颜色、色差、服装款式相符性、垂悬性），优得3分，良得2分，一般得1分，</w:t>
            </w:r>
            <w:r>
              <w:rPr>
                <w:rFonts w:hint="eastAsia" w:ascii="仿宋" w:hAnsi="仿宋" w:eastAsia="仿宋" w:cs="仿宋"/>
                <w:sz w:val="24"/>
                <w:szCs w:val="24"/>
              </w:rPr>
              <w:t>差不得分。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3.3材料品质（面料质感、辅料相符性），优得3分，良得2分，一般得1分，</w:t>
            </w:r>
            <w:r>
              <w:rPr>
                <w:rFonts w:hint="eastAsia" w:ascii="仿宋" w:hAnsi="仿宋" w:eastAsia="仿宋" w:cs="仿宋"/>
                <w:sz w:val="24"/>
                <w:szCs w:val="24"/>
              </w:rPr>
              <w:t>差不得分。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3.4配件使用情况（包括拉链，纽扣等）：优得3分，良得2分，一般得1分，</w:t>
            </w:r>
            <w:r>
              <w:rPr>
                <w:rFonts w:hint="eastAsia" w:ascii="仿宋" w:hAnsi="仿宋" w:eastAsia="仿宋" w:cs="仿宋"/>
                <w:sz w:val="24"/>
                <w:szCs w:val="24"/>
              </w:rPr>
              <w:t>差不得分。</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w:t>
            </w:r>
          </w:p>
        </w:tc>
      </w:tr>
      <w:tr>
        <w:tblPrEx>
          <w:tblCellMar>
            <w:top w:w="15" w:type="dxa"/>
            <w:left w:w="15" w:type="dxa"/>
            <w:bottom w:w="15" w:type="dxa"/>
            <w:right w:w="15" w:type="dxa"/>
          </w:tblCellMar>
        </w:tblPrEx>
        <w:trPr>
          <w:trHeight w:val="600" w:hRule="atLeast"/>
        </w:trPr>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7844"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r>
      <w:tr>
        <w:tblPrEx>
          <w:tblCellMar>
            <w:top w:w="15" w:type="dxa"/>
            <w:left w:w="15" w:type="dxa"/>
            <w:bottom w:w="15" w:type="dxa"/>
            <w:right w:w="15" w:type="dxa"/>
          </w:tblCellMar>
        </w:tblPrEx>
        <w:trPr>
          <w:trHeight w:val="600" w:hRule="atLeast"/>
        </w:trPr>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7844"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r>
      <w:tr>
        <w:tblPrEx>
          <w:tblCellMar>
            <w:top w:w="15" w:type="dxa"/>
            <w:left w:w="15" w:type="dxa"/>
            <w:bottom w:w="15" w:type="dxa"/>
            <w:right w:w="15" w:type="dxa"/>
          </w:tblCellMar>
        </w:tblPrEx>
        <w:trPr>
          <w:trHeight w:val="600" w:hRule="atLeast"/>
        </w:trPr>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7844"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r>
      <w:tr>
        <w:tblPrEx>
          <w:tblCellMar>
            <w:top w:w="15" w:type="dxa"/>
            <w:left w:w="15" w:type="dxa"/>
            <w:bottom w:w="15" w:type="dxa"/>
            <w:right w:w="15" w:type="dxa"/>
          </w:tblCellMar>
        </w:tblPrEx>
        <w:trPr>
          <w:trHeight w:val="320" w:hRule="atLeast"/>
        </w:trPr>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c>
          <w:tcPr>
            <w:tcW w:w="7844"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szCs w:val="24"/>
              </w:rPr>
            </w:pPr>
          </w:p>
        </w:tc>
      </w:tr>
      <w:tr>
        <w:tblPrEx>
          <w:tblCellMar>
            <w:top w:w="15" w:type="dxa"/>
            <w:left w:w="15" w:type="dxa"/>
            <w:bottom w:w="15" w:type="dxa"/>
            <w:right w:w="15" w:type="dxa"/>
          </w:tblCellMar>
        </w:tblPrEx>
        <w:trPr>
          <w:trHeight w:val="369" w:hRule="atLeast"/>
        </w:trPr>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实施方案</w:t>
            </w:r>
            <w:r>
              <w:rPr>
                <w:rFonts w:hint="eastAsia" w:ascii="仿宋" w:hAnsi="仿宋" w:eastAsia="仿宋" w:cs="仿宋"/>
                <w:kern w:val="0"/>
                <w:sz w:val="24"/>
                <w:szCs w:val="24"/>
                <w:lang w:bidi="ar"/>
              </w:rPr>
              <w:br w:type="textWrapping"/>
            </w:r>
          </w:p>
        </w:tc>
        <w:tc>
          <w:tcPr>
            <w:tcW w:w="7844" w:type="dxa"/>
            <w:tcBorders>
              <w:top w:val="single" w:color="000000" w:sz="4" w:space="0"/>
              <w:left w:val="single" w:color="000000" w:sz="4" w:space="0"/>
              <w:bottom w:val="single" w:color="000000" w:sz="4" w:space="0"/>
              <w:right w:val="single" w:color="000000"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4.1响应单位安排量体及整理汇总时间安排紧促的得3分；时间安排宽松的得2分；时间安排缓慢的得1分；未提供的不得分;</w:t>
            </w:r>
          </w:p>
          <w:p>
            <w:pPr>
              <w:spacing w:line="360" w:lineRule="auto"/>
              <w:rPr>
                <w:rFonts w:ascii="仿宋" w:hAnsi="仿宋" w:eastAsia="仿宋" w:cs="仿宋"/>
                <w:sz w:val="24"/>
                <w:szCs w:val="24"/>
              </w:rPr>
            </w:pPr>
            <w:r>
              <w:rPr>
                <w:rFonts w:hint="eastAsia" w:ascii="仿宋" w:hAnsi="仿宋" w:eastAsia="仿宋" w:cs="仿宋"/>
                <w:sz w:val="24"/>
                <w:szCs w:val="24"/>
              </w:rPr>
              <w:t>4.2正常量体各响应单位相关服务方案比较，最高3分，简单得1-2分，未提供的不得分。</w:t>
            </w:r>
          </w:p>
          <w:p>
            <w:pPr>
              <w:spacing w:line="360" w:lineRule="auto"/>
              <w:rPr>
                <w:rFonts w:ascii="仿宋" w:hAnsi="仿宋" w:eastAsia="仿宋" w:cs="仿宋"/>
                <w:sz w:val="24"/>
                <w:szCs w:val="24"/>
              </w:rPr>
            </w:pPr>
            <w:r>
              <w:rPr>
                <w:rFonts w:hint="eastAsia" w:ascii="仿宋" w:hAnsi="仿宋" w:eastAsia="仿宋" w:cs="仿宋"/>
                <w:sz w:val="24"/>
                <w:szCs w:val="24"/>
              </w:rPr>
              <w:t>4.3服务承诺完整的得3分； 服务承诺简单的得2分； 服务承诺模糊不清的得1分；未提供的不得分;</w:t>
            </w:r>
          </w:p>
          <w:p>
            <w:pPr>
              <w:spacing w:line="360" w:lineRule="auto"/>
              <w:rPr>
                <w:rFonts w:ascii="仿宋" w:hAnsi="仿宋" w:eastAsia="仿宋" w:cs="仿宋"/>
                <w:sz w:val="24"/>
                <w:szCs w:val="24"/>
              </w:rPr>
            </w:pPr>
            <w:r>
              <w:rPr>
                <w:rFonts w:hint="eastAsia" w:ascii="仿宋" w:hAnsi="仿宋" w:eastAsia="仿宋" w:cs="仿宋"/>
                <w:sz w:val="24"/>
                <w:szCs w:val="24"/>
              </w:rPr>
              <w:t>4.4实施方案、质量保证措施等完整的得4分；实施方案、质量保证措施等简单的得3分；实施方案、质量保证措施等模糊不清的得1分；未提供不得分。</w:t>
            </w:r>
          </w:p>
          <w:p>
            <w:pPr>
              <w:spacing w:line="360" w:lineRule="auto"/>
              <w:rPr>
                <w:rFonts w:ascii="仿宋" w:hAnsi="仿宋" w:eastAsia="仿宋" w:cs="仿宋"/>
                <w:sz w:val="24"/>
                <w:szCs w:val="24"/>
              </w:rPr>
            </w:pPr>
            <w:r>
              <w:rPr>
                <w:rFonts w:hint="eastAsia" w:ascii="仿宋" w:hAnsi="仿宋" w:eastAsia="仿宋" w:cs="仿宋"/>
                <w:sz w:val="24"/>
                <w:szCs w:val="24"/>
              </w:rPr>
              <w:t>4.5根据响应单位提供的工艺流程最高4分，工艺流程完整、科学性强得3分；工艺流程简单得1分；，未提供不得分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17</w:t>
            </w:r>
          </w:p>
        </w:tc>
      </w:tr>
      <w:tr>
        <w:tblPrEx>
          <w:tblCellMar>
            <w:top w:w="15" w:type="dxa"/>
            <w:left w:w="15" w:type="dxa"/>
            <w:bottom w:w="15" w:type="dxa"/>
            <w:right w:w="15" w:type="dxa"/>
          </w:tblCellMar>
        </w:tblPrEx>
        <w:trPr>
          <w:trHeight w:val="1331" w:hRule="atLeast"/>
        </w:trPr>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售后服务</w:t>
            </w:r>
          </w:p>
        </w:tc>
        <w:tc>
          <w:tcPr>
            <w:tcW w:w="78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5.1评审各投标人售后服务能力,服务响应及具体的措施，评委综合比较，优秀得4分，良好得3分，一般得1分，差不得分。</w:t>
            </w:r>
          </w:p>
          <w:p>
            <w:pPr>
              <w:spacing w:line="360" w:lineRule="auto"/>
              <w:rPr>
                <w:rFonts w:ascii="仿宋" w:hAnsi="仿宋" w:eastAsia="仿宋" w:cs="仿宋"/>
                <w:sz w:val="24"/>
                <w:szCs w:val="24"/>
              </w:rPr>
            </w:pPr>
            <w:r>
              <w:rPr>
                <w:rFonts w:hint="eastAsia" w:ascii="仿宋" w:hAnsi="仿宋" w:eastAsia="仿宋" w:cs="仿宋"/>
                <w:sz w:val="24"/>
                <w:szCs w:val="24"/>
              </w:rPr>
              <w:t>5.2结合清单需求，比较投标人提出的其它优惠条件的实质性内容及经济价值，优秀得3分，良好得2分，一般得1分，没有优惠条件或优惠条件没有实质性内容的不得分。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w:t>
            </w:r>
          </w:p>
        </w:tc>
      </w:tr>
      <w:tr>
        <w:tblPrEx>
          <w:tblCellMar>
            <w:top w:w="15" w:type="dxa"/>
            <w:left w:w="15" w:type="dxa"/>
            <w:bottom w:w="15" w:type="dxa"/>
            <w:right w:w="15" w:type="dxa"/>
          </w:tblCellMar>
        </w:tblPrEx>
        <w:trPr>
          <w:trHeight w:val="600" w:hRule="atLeast"/>
        </w:trPr>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综合实力</w:t>
            </w:r>
            <w:r>
              <w:rPr>
                <w:rFonts w:hint="eastAsia" w:ascii="仿宋" w:hAnsi="仿宋" w:eastAsia="仿宋" w:cs="仿宋"/>
                <w:kern w:val="0"/>
                <w:sz w:val="24"/>
                <w:szCs w:val="24"/>
                <w:lang w:bidi="ar"/>
              </w:rPr>
              <w:br w:type="textWrapping"/>
            </w:r>
          </w:p>
        </w:tc>
        <w:tc>
          <w:tcPr>
            <w:tcW w:w="78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6.1响应单位具有有效期内的质量管理体系认证、职业健康安全体系认证、环境管理体系认证证书的，且认证范围与本项目相关，有一个得1分。最高3分</w:t>
            </w:r>
          </w:p>
          <w:p>
            <w:pPr>
              <w:spacing w:line="360" w:lineRule="auto"/>
              <w:rPr>
                <w:rFonts w:ascii="仿宋" w:hAnsi="仿宋" w:eastAsia="仿宋" w:cs="仿宋"/>
                <w:sz w:val="24"/>
                <w:szCs w:val="24"/>
              </w:rPr>
            </w:pPr>
            <w:r>
              <w:rPr>
                <w:rFonts w:hint="eastAsia" w:ascii="仿宋" w:hAnsi="仿宋" w:eastAsia="仿宋" w:cs="仿宋"/>
                <w:sz w:val="24"/>
                <w:szCs w:val="24"/>
              </w:rPr>
              <w:t>6.2响应单位具有有效期内售后服务认证证书，且认证范围与本项目相关，得2分。</w:t>
            </w:r>
          </w:p>
          <w:p>
            <w:pPr>
              <w:spacing w:line="360" w:lineRule="auto"/>
              <w:rPr>
                <w:rFonts w:ascii="仿宋" w:hAnsi="仿宋" w:eastAsia="仿宋" w:cs="仿宋"/>
                <w:sz w:val="24"/>
                <w:szCs w:val="24"/>
              </w:rPr>
            </w:pPr>
            <w:r>
              <w:rPr>
                <w:rFonts w:hint="eastAsia" w:ascii="仿宋" w:hAnsi="仿宋" w:eastAsia="仿宋" w:cs="仿宋"/>
                <w:sz w:val="24"/>
                <w:szCs w:val="24"/>
              </w:rPr>
              <w:t>6.3响应单位具有国家授权的第三方信用评级机构出具的信用评级报告为AAA得3分AA得2分A得1分。</w:t>
            </w:r>
          </w:p>
          <w:p>
            <w:pPr>
              <w:spacing w:line="360" w:lineRule="auto"/>
              <w:rPr>
                <w:rFonts w:ascii="仿宋" w:hAnsi="仿宋" w:eastAsia="仿宋" w:cs="仿宋"/>
                <w:sz w:val="24"/>
                <w:szCs w:val="24"/>
              </w:rPr>
            </w:pPr>
            <w:r>
              <w:rPr>
                <w:rFonts w:hint="eastAsia" w:ascii="仿宋" w:hAnsi="仿宋" w:eastAsia="仿宋" w:cs="仿宋"/>
                <w:sz w:val="24"/>
                <w:szCs w:val="24"/>
              </w:rPr>
              <w:t>6.4类似业绩：自2018年1月1日（以合同签订日期为准）以来由供应商独立承担的类似服装项目业绩资料,每提供1份得2分，本项最高得6分（提供合同）</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14</w:t>
            </w:r>
          </w:p>
        </w:tc>
      </w:tr>
    </w:tbl>
    <w:p>
      <w:pPr>
        <w:spacing w:line="360" w:lineRule="auto"/>
        <w:ind w:firstLine="600"/>
        <w:rPr>
          <w:rFonts w:ascii="仿宋" w:hAnsi="仿宋" w:eastAsia="仿宋"/>
          <w:snapToGrid w:val="0"/>
          <w:sz w:val="28"/>
        </w:rPr>
      </w:pPr>
      <w:r>
        <w:rPr>
          <w:rFonts w:hint="eastAsia" w:ascii="宋体" w:hAnsi="宋体" w:cs="宋体"/>
          <w:kern w:val="0"/>
          <w:szCs w:val="21"/>
          <w:lang w:val="zh-CN"/>
        </w:rPr>
        <w:t>注：</w:t>
      </w:r>
      <w:r>
        <w:rPr>
          <w:rFonts w:hint="eastAsia" w:ascii="宋体" w:hAnsi="宋体" w:cs="宋体"/>
          <w:b/>
          <w:bCs/>
          <w:kern w:val="0"/>
          <w:szCs w:val="21"/>
          <w:lang w:val="zh-CN"/>
        </w:rPr>
        <w:t>本评分办法中涉及的类似证明资料均需提供原件备查，否则视为未提供，不得分。</w:t>
      </w: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autoSpaceDE w:val="0"/>
        <w:autoSpaceDN w:val="0"/>
        <w:adjustRightInd w:val="0"/>
        <w:spacing w:before="18" w:line="360" w:lineRule="auto"/>
        <w:jc w:val="center"/>
        <w:rPr>
          <w:rFonts w:ascii="仿宋" w:hAnsi="仿宋" w:eastAsia="仿宋" w:cs="MingLiU"/>
          <w:b/>
          <w:bCs/>
          <w:color w:val="000000"/>
          <w:kern w:val="0"/>
          <w:sz w:val="48"/>
          <w:szCs w:val="48"/>
        </w:rPr>
      </w:pPr>
      <w:r>
        <w:rPr>
          <w:rFonts w:hint="eastAsia" w:ascii="仿宋" w:hAnsi="仿宋" w:eastAsia="仿宋" w:cs="MingLiU"/>
          <w:b/>
          <w:bCs/>
          <w:color w:val="000000"/>
          <w:kern w:val="0"/>
          <w:sz w:val="48"/>
          <w:szCs w:val="48"/>
        </w:rPr>
        <w:t>第四章  投标文件格式</w:t>
      </w:r>
    </w:p>
    <w:p>
      <w:pPr>
        <w:autoSpaceDE w:val="0"/>
        <w:autoSpaceDN w:val="0"/>
        <w:adjustRightInd w:val="0"/>
        <w:spacing w:before="18" w:line="360" w:lineRule="auto"/>
        <w:rPr>
          <w:rFonts w:ascii="仿宋" w:hAnsi="仿宋" w:eastAsia="仿宋" w:cs="MingLiU"/>
          <w:b/>
          <w:bCs/>
          <w:color w:val="000000"/>
          <w:kern w:val="0"/>
          <w:sz w:val="28"/>
          <w:szCs w:val="28"/>
          <w:u w:val="single"/>
        </w:rPr>
      </w:pPr>
    </w:p>
    <w:p>
      <w:pPr>
        <w:autoSpaceDE w:val="0"/>
        <w:autoSpaceDN w:val="0"/>
        <w:adjustRightInd w:val="0"/>
        <w:spacing w:before="18" w:line="360" w:lineRule="auto"/>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r>
        <w:rPr>
          <w:rFonts w:hint="eastAsia" w:ascii="仿宋" w:hAnsi="仿宋" w:eastAsia="仿宋" w:cs="MingLiU"/>
          <w:b/>
          <w:bCs/>
          <w:color w:val="000000"/>
          <w:kern w:val="0"/>
          <w:sz w:val="28"/>
          <w:szCs w:val="28"/>
          <w:u w:val="single"/>
        </w:rPr>
        <w:t xml:space="preserve">（项目名称）    </w:t>
      </w:r>
    </w:p>
    <w:p>
      <w:pPr>
        <w:autoSpaceDE w:val="0"/>
        <w:autoSpaceDN w:val="0"/>
        <w:adjustRightInd w:val="0"/>
        <w:spacing w:before="18" w:line="360" w:lineRule="auto"/>
        <w:rPr>
          <w:rFonts w:ascii="仿宋" w:hAnsi="仿宋" w:eastAsia="仿宋" w:cs="MingLiU"/>
          <w:b/>
          <w:bCs/>
          <w:color w:val="000000"/>
          <w:kern w:val="0"/>
          <w:sz w:val="28"/>
          <w:szCs w:val="28"/>
        </w:rPr>
      </w:pPr>
    </w:p>
    <w:p>
      <w:pPr>
        <w:autoSpaceDE w:val="0"/>
        <w:autoSpaceDN w:val="0"/>
        <w:adjustRightInd w:val="0"/>
        <w:spacing w:before="18" w:line="360" w:lineRule="auto"/>
        <w:jc w:val="center"/>
        <w:rPr>
          <w:rFonts w:ascii="仿宋" w:hAnsi="仿宋" w:eastAsia="仿宋" w:cs="MingLiU"/>
          <w:b/>
          <w:bCs/>
          <w:color w:val="000000"/>
          <w:kern w:val="0"/>
          <w:sz w:val="44"/>
          <w:szCs w:val="44"/>
        </w:rPr>
      </w:pPr>
      <w:r>
        <w:rPr>
          <w:rFonts w:hint="eastAsia" w:ascii="仿宋" w:hAnsi="仿宋" w:eastAsia="仿宋" w:cs="MingLiU"/>
          <w:b/>
          <w:bCs/>
          <w:color w:val="000000"/>
          <w:kern w:val="0"/>
          <w:sz w:val="44"/>
          <w:szCs w:val="44"/>
        </w:rPr>
        <w:t>投标文件</w:t>
      </w: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rPr>
          <w:rFonts w:ascii="仿宋" w:hAnsi="仿宋" w:eastAsia="仿宋" w:cs="MingLiU"/>
          <w:b/>
          <w:bCs/>
          <w:color w:val="000000"/>
          <w:kern w:val="0"/>
          <w:sz w:val="28"/>
          <w:szCs w:val="28"/>
        </w:rPr>
      </w:pPr>
    </w:p>
    <w:p>
      <w:pPr>
        <w:autoSpaceDE w:val="0"/>
        <w:autoSpaceDN w:val="0"/>
        <w:adjustRightInd w:val="0"/>
        <w:spacing w:before="18" w:line="360" w:lineRule="auto"/>
        <w:rPr>
          <w:rFonts w:ascii="仿宋" w:hAnsi="仿宋" w:eastAsia="仿宋" w:cs="MingLiU"/>
          <w:color w:val="000000"/>
          <w:kern w:val="0"/>
          <w:sz w:val="28"/>
          <w:szCs w:val="28"/>
          <w:u w:val="single"/>
        </w:rPr>
      </w:pPr>
      <w:r>
        <w:rPr>
          <w:rFonts w:hint="eastAsia" w:ascii="仿宋" w:hAnsi="仿宋" w:eastAsia="仿宋" w:cs="MingLiU"/>
          <w:color w:val="000000"/>
          <w:kern w:val="0"/>
          <w:sz w:val="28"/>
          <w:szCs w:val="28"/>
        </w:rPr>
        <w:t xml:space="preserve">  供应商：</w:t>
      </w:r>
      <w:r>
        <w:rPr>
          <w:rFonts w:hint="eastAsia" w:ascii="仿宋" w:hAnsi="仿宋" w:eastAsia="仿宋" w:cs="MingLiU"/>
          <w:color w:val="000000"/>
          <w:kern w:val="0"/>
          <w:sz w:val="28"/>
          <w:szCs w:val="28"/>
          <w:u w:val="single"/>
        </w:rPr>
        <w:t xml:space="preserve">                 （盖单位章）</w:t>
      </w:r>
    </w:p>
    <w:p>
      <w:pPr>
        <w:autoSpaceDE w:val="0"/>
        <w:autoSpaceDN w:val="0"/>
        <w:adjustRightInd w:val="0"/>
        <w:spacing w:before="18" w:line="360" w:lineRule="auto"/>
        <w:rPr>
          <w:rFonts w:ascii="仿宋" w:hAnsi="仿宋" w:eastAsia="仿宋" w:cs="MingLiU"/>
          <w:color w:val="000000"/>
          <w:kern w:val="0"/>
          <w:sz w:val="28"/>
          <w:szCs w:val="28"/>
          <w:u w:val="single"/>
        </w:rPr>
      </w:pPr>
    </w:p>
    <w:p>
      <w:pPr>
        <w:autoSpaceDE w:val="0"/>
        <w:autoSpaceDN w:val="0"/>
        <w:adjustRightInd w:val="0"/>
        <w:spacing w:before="18" w:line="360" w:lineRule="auto"/>
        <w:ind w:firstLine="1680" w:firstLineChars="600"/>
        <w:rPr>
          <w:rFonts w:ascii="仿宋" w:hAnsi="仿宋" w:eastAsia="仿宋" w:cs="MingLiU"/>
          <w:color w:val="000000"/>
          <w:kern w:val="0"/>
          <w:sz w:val="28"/>
          <w:szCs w:val="28"/>
        </w:rPr>
        <w:sectPr>
          <w:pgSz w:w="11920" w:h="16840"/>
          <w:pgMar w:top="1531" w:right="1247" w:bottom="1247" w:left="1701" w:header="720" w:footer="720" w:gutter="0"/>
          <w:cols w:space="720" w:num="1"/>
          <w:docGrid w:type="lines" w:linePitch="312" w:charSpace="0"/>
        </w:sectPr>
      </w:pPr>
      <w:r>
        <w:rPr>
          <w:rFonts w:hint="eastAsia" w:ascii="仿宋" w:hAnsi="仿宋" w:eastAsia="仿宋" w:cs="MingLiU"/>
          <w:color w:val="000000"/>
          <w:kern w:val="0"/>
          <w:sz w:val="28"/>
          <w:szCs w:val="28"/>
        </w:rPr>
        <w:t>年         月         日</w:t>
      </w:r>
    </w:p>
    <w:p>
      <w:pPr>
        <w:pStyle w:val="3"/>
        <w:tabs>
          <w:tab w:val="center" w:pos="4713"/>
        </w:tabs>
        <w:rPr>
          <w:rFonts w:ascii="仿宋" w:hAnsi="仿宋" w:eastAsia="仿宋"/>
        </w:rPr>
      </w:pPr>
      <w:bookmarkStart w:id="2" w:name="_Toc279138323"/>
      <w:bookmarkStart w:id="3" w:name="_Toc418938015"/>
      <w:bookmarkStart w:id="4" w:name="_Toc422582349"/>
      <w:bookmarkStart w:id="5" w:name="_Toc369355212"/>
      <w:r>
        <w:rPr>
          <w:rFonts w:hint="eastAsia" w:ascii="仿宋" w:hAnsi="仿宋" w:eastAsia="仿宋"/>
        </w:rPr>
        <w:t xml:space="preserve">                      一、投标函</w:t>
      </w:r>
      <w:bookmarkEnd w:id="2"/>
      <w:bookmarkEnd w:id="3"/>
      <w:bookmarkEnd w:id="4"/>
      <w:bookmarkEnd w:id="5"/>
    </w:p>
    <w:p>
      <w:pPr>
        <w:spacing w:line="384" w:lineRule="auto"/>
        <w:rPr>
          <w:rFonts w:ascii="仿宋" w:hAnsi="仿宋" w:eastAsia="仿宋"/>
          <w:sz w:val="28"/>
          <w:szCs w:val="28"/>
          <w:u w:val="single"/>
        </w:rPr>
      </w:pPr>
    </w:p>
    <w:p>
      <w:pPr>
        <w:spacing w:line="384" w:lineRule="auto"/>
        <w:rPr>
          <w:rFonts w:ascii="仿宋" w:hAnsi="仿宋" w:eastAsia="仿宋"/>
          <w:bCs/>
          <w:sz w:val="28"/>
          <w:szCs w:val="28"/>
        </w:rPr>
      </w:pPr>
      <w:r>
        <w:rPr>
          <w:rFonts w:hint="eastAsia" w:ascii="仿宋" w:hAnsi="仿宋" w:eastAsia="仿宋"/>
          <w:sz w:val="28"/>
          <w:szCs w:val="28"/>
        </w:rPr>
        <w:t>致：</w:t>
      </w:r>
    </w:p>
    <w:p>
      <w:pPr>
        <w:tabs>
          <w:tab w:val="left" w:pos="3765"/>
          <w:tab w:val="left" w:pos="4665"/>
          <w:tab w:val="left" w:pos="6105"/>
          <w:tab w:val="left" w:pos="6200"/>
          <w:tab w:val="left" w:pos="6560"/>
          <w:tab w:val="left" w:pos="8500"/>
        </w:tabs>
        <w:autoSpaceDE w:val="0"/>
        <w:autoSpaceDN w:val="0"/>
        <w:adjustRightInd w:val="0"/>
        <w:spacing w:before="96" w:line="384" w:lineRule="auto"/>
        <w:ind w:right="80" w:firstLine="716" w:firstLineChars="256"/>
        <w:rPr>
          <w:rFonts w:ascii="仿宋" w:hAnsi="仿宋" w:eastAsia="仿宋" w:cs="MingLiU"/>
          <w:kern w:val="0"/>
          <w:sz w:val="28"/>
          <w:szCs w:val="28"/>
        </w:rPr>
      </w:pPr>
      <w:r>
        <w:rPr>
          <w:rFonts w:hint="eastAsia" w:ascii="仿宋" w:hAnsi="仿宋" w:eastAsia="仿宋" w:cs="MingLiU"/>
          <w:kern w:val="0"/>
          <w:sz w:val="28"/>
          <w:szCs w:val="28"/>
        </w:rPr>
        <w:t>1、</w:t>
      </w:r>
      <w:r>
        <w:rPr>
          <w:rFonts w:hint="eastAsia" w:ascii="仿宋" w:hAnsi="仿宋" w:eastAsia="仿宋" w:cs="MingLiU"/>
          <w:spacing w:val="3"/>
          <w:kern w:val="0"/>
          <w:sz w:val="28"/>
          <w:szCs w:val="28"/>
        </w:rPr>
        <w:t>我们收到并研究了贵方的招标文件，愿意按招标文件规定的工作内容承担工程项目，严格执行承诺的服务义务</w:t>
      </w:r>
      <w:r>
        <w:rPr>
          <w:rFonts w:hint="eastAsia" w:ascii="仿宋" w:hAnsi="仿宋" w:eastAsia="仿宋" w:cs="MingLiU"/>
          <w:kern w:val="0"/>
          <w:sz w:val="28"/>
          <w:szCs w:val="28"/>
        </w:rPr>
        <w:t>。</w:t>
      </w:r>
    </w:p>
    <w:p>
      <w:pPr>
        <w:autoSpaceDE w:val="0"/>
        <w:autoSpaceDN w:val="0"/>
        <w:adjustRightInd w:val="0"/>
        <w:spacing w:line="384" w:lineRule="auto"/>
        <w:ind w:left="120" w:leftChars="57" w:right="-157" w:firstLine="572" w:firstLineChars="20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2、按招标要求，我方愿以人民币</w:t>
      </w:r>
      <w:r>
        <w:rPr>
          <w:rFonts w:hint="eastAsia" w:ascii="仿宋" w:hAnsi="仿宋" w:eastAsia="仿宋" w:cs="MingLiU"/>
          <w:spacing w:val="3"/>
          <w:kern w:val="0"/>
          <w:sz w:val="28"/>
          <w:szCs w:val="28"/>
          <w:u w:val="single"/>
        </w:rPr>
        <w:t xml:space="preserve">     </w:t>
      </w:r>
      <w:r>
        <w:rPr>
          <w:rFonts w:hint="eastAsia" w:ascii="仿宋" w:hAnsi="仿宋" w:eastAsia="仿宋" w:cs="MingLiU"/>
          <w:spacing w:val="3"/>
          <w:kern w:val="0"/>
          <w:sz w:val="28"/>
          <w:szCs w:val="28"/>
        </w:rPr>
        <w:t>万元的总价，按上述合同条件、技术规范等全部条件承包上述项目。拟派的项目负责人为</w:t>
      </w:r>
      <w:r>
        <w:rPr>
          <w:rFonts w:hint="eastAsia" w:ascii="仿宋" w:hAnsi="仿宋" w:eastAsia="仿宋" w:cs="MingLiU"/>
          <w:spacing w:val="3"/>
          <w:kern w:val="0"/>
          <w:sz w:val="28"/>
          <w:szCs w:val="28"/>
          <w:u w:val="single"/>
        </w:rPr>
        <w:t xml:space="preserve">    </w:t>
      </w:r>
      <w:r>
        <w:rPr>
          <w:rFonts w:hint="eastAsia" w:ascii="仿宋" w:hAnsi="仿宋" w:eastAsia="仿宋" w:cs="MingLiU"/>
          <w:spacing w:val="3"/>
          <w:kern w:val="0"/>
          <w:sz w:val="28"/>
          <w:szCs w:val="28"/>
        </w:rPr>
        <w:t>并承诺在1年</w:t>
      </w:r>
      <w:r>
        <w:rPr>
          <w:rFonts w:hint="eastAsia" w:ascii="仿宋" w:hAnsi="仿宋" w:eastAsia="仿宋" w:cs="MingLiU"/>
          <w:kern w:val="0"/>
          <w:sz w:val="28"/>
          <w:szCs w:val="28"/>
        </w:rPr>
        <w:t>内完成所有招标内容服务工作。</w:t>
      </w:r>
    </w:p>
    <w:p>
      <w:pPr>
        <w:autoSpaceDE w:val="0"/>
        <w:autoSpaceDN w:val="0"/>
        <w:adjustRightInd w:val="0"/>
        <w:spacing w:line="384" w:lineRule="auto"/>
        <w:ind w:right="80" w:firstLine="732" w:firstLineChars="256"/>
        <w:rPr>
          <w:rFonts w:ascii="仿宋" w:hAnsi="仿宋" w:eastAsia="仿宋" w:cs="MingLiU"/>
          <w:kern w:val="0"/>
          <w:sz w:val="28"/>
          <w:szCs w:val="28"/>
        </w:rPr>
      </w:pPr>
      <w:r>
        <w:rPr>
          <w:rFonts w:hint="eastAsia" w:ascii="仿宋" w:hAnsi="仿宋" w:eastAsia="仿宋" w:cs="MingLiU"/>
          <w:spacing w:val="3"/>
          <w:kern w:val="0"/>
          <w:sz w:val="28"/>
          <w:szCs w:val="28"/>
        </w:rPr>
        <w:t>3、我们承诺本投标函以及投标文件的其他部分作为我们投标的组成部分。</w:t>
      </w:r>
    </w:p>
    <w:p>
      <w:pPr>
        <w:autoSpaceDE w:val="0"/>
        <w:autoSpaceDN w:val="0"/>
        <w:adjustRightInd w:val="0"/>
        <w:spacing w:line="384" w:lineRule="auto"/>
        <w:ind w:right="80" w:firstLine="700" w:firstLineChars="250"/>
        <w:rPr>
          <w:rFonts w:ascii="仿宋" w:hAnsi="仿宋" w:eastAsia="仿宋" w:cs="MingLiU"/>
          <w:kern w:val="0"/>
          <w:sz w:val="28"/>
          <w:szCs w:val="28"/>
        </w:rPr>
      </w:pPr>
      <w:r>
        <w:rPr>
          <w:rFonts w:hint="eastAsia" w:ascii="仿宋" w:hAnsi="仿宋" w:eastAsia="仿宋" w:cs="MingLiU"/>
          <w:kern w:val="0"/>
          <w:sz w:val="28"/>
          <w:szCs w:val="28"/>
        </w:rPr>
        <w:t>4、如果我们中标，我们保证按招标文件和承诺报价书的要求和贵方签订委托协议，成立服务小组，按招标文件的承诺安排专业人员实施服务。</w:t>
      </w:r>
    </w:p>
    <w:p>
      <w:pPr>
        <w:autoSpaceDE w:val="0"/>
        <w:autoSpaceDN w:val="0"/>
        <w:adjustRightInd w:val="0"/>
        <w:spacing w:line="384" w:lineRule="auto"/>
        <w:ind w:right="80" w:firstLine="700" w:firstLineChars="250"/>
        <w:rPr>
          <w:rFonts w:ascii="仿宋" w:hAnsi="仿宋" w:eastAsia="仿宋" w:cs="MingLiU"/>
          <w:kern w:val="0"/>
          <w:sz w:val="28"/>
          <w:szCs w:val="28"/>
        </w:rPr>
      </w:pPr>
    </w:p>
    <w:p>
      <w:pPr>
        <w:autoSpaceDE w:val="0"/>
        <w:autoSpaceDN w:val="0"/>
        <w:adjustRightInd w:val="0"/>
        <w:spacing w:before="96" w:line="384" w:lineRule="auto"/>
        <w:ind w:right="80" w:firstLine="5640" w:firstLineChars="2350"/>
        <w:rPr>
          <w:rFonts w:ascii="仿宋" w:hAnsi="仿宋" w:eastAsia="仿宋" w:cs="MingLiU"/>
          <w:kern w:val="0"/>
          <w:sz w:val="24"/>
        </w:rPr>
      </w:pPr>
    </w:p>
    <w:p>
      <w:pPr>
        <w:autoSpaceDE w:val="0"/>
        <w:autoSpaceDN w:val="0"/>
        <w:adjustRightInd w:val="0"/>
        <w:spacing w:before="96" w:line="384" w:lineRule="auto"/>
        <w:ind w:right="80" w:firstLine="5640" w:firstLineChars="2350"/>
        <w:rPr>
          <w:rFonts w:ascii="仿宋" w:hAnsi="仿宋" w:eastAsia="仿宋" w:cs="MingLiU"/>
          <w:kern w:val="0"/>
          <w:sz w:val="24"/>
        </w:rPr>
      </w:pPr>
    </w:p>
    <w:p>
      <w:pPr>
        <w:autoSpaceDE w:val="0"/>
        <w:autoSpaceDN w:val="0"/>
        <w:adjustRightInd w:val="0"/>
        <w:spacing w:before="96" w:line="384" w:lineRule="auto"/>
        <w:ind w:right="80" w:firstLine="5640" w:firstLineChars="2350"/>
        <w:rPr>
          <w:rFonts w:ascii="仿宋" w:hAnsi="仿宋" w:eastAsia="仿宋" w:cs="MingLiU"/>
          <w:kern w:val="0"/>
          <w:sz w:val="24"/>
        </w:rPr>
      </w:pPr>
    </w:p>
    <w:p>
      <w:pPr>
        <w:autoSpaceDE w:val="0"/>
        <w:autoSpaceDN w:val="0"/>
        <w:adjustRightInd w:val="0"/>
        <w:spacing w:before="96" w:line="384" w:lineRule="auto"/>
        <w:ind w:right="80" w:firstLine="3360" w:firstLineChars="1200"/>
        <w:rPr>
          <w:rFonts w:ascii="仿宋" w:hAnsi="仿宋" w:eastAsia="仿宋"/>
          <w:kern w:val="0"/>
          <w:sz w:val="28"/>
          <w:szCs w:val="28"/>
        </w:rPr>
      </w:pPr>
      <w:r>
        <w:rPr>
          <w:rFonts w:hint="eastAsia" w:ascii="仿宋" w:hAnsi="仿宋" w:eastAsia="仿宋" w:cs="MingLiU"/>
          <w:kern w:val="0"/>
          <w:sz w:val="28"/>
          <w:szCs w:val="28"/>
        </w:rPr>
        <w:t>投标人(公章)</w:t>
      </w:r>
      <w:r>
        <w:rPr>
          <w:rFonts w:hint="eastAsia" w:ascii="仿宋" w:hAnsi="仿宋" w:eastAsia="仿宋"/>
          <w:kern w:val="0"/>
          <w:sz w:val="28"/>
          <w:szCs w:val="28"/>
        </w:rPr>
        <w:t>：</w:t>
      </w:r>
    </w:p>
    <w:p>
      <w:pPr>
        <w:autoSpaceDE w:val="0"/>
        <w:autoSpaceDN w:val="0"/>
        <w:adjustRightInd w:val="0"/>
        <w:spacing w:before="96" w:line="384" w:lineRule="auto"/>
        <w:ind w:right="80" w:firstLine="3360" w:firstLineChars="1200"/>
        <w:rPr>
          <w:rFonts w:ascii="仿宋" w:hAnsi="仿宋" w:eastAsia="仿宋"/>
          <w:kern w:val="0"/>
          <w:sz w:val="28"/>
          <w:szCs w:val="28"/>
        </w:rPr>
      </w:pPr>
    </w:p>
    <w:p>
      <w:pPr>
        <w:tabs>
          <w:tab w:val="left" w:pos="5640"/>
        </w:tabs>
        <w:ind w:firstLine="3360" w:firstLineChars="1200"/>
        <w:rPr>
          <w:rFonts w:ascii="仿宋" w:hAnsi="仿宋" w:eastAsia="仿宋" w:cs="MingLiU"/>
          <w:sz w:val="28"/>
          <w:szCs w:val="28"/>
        </w:rPr>
      </w:pPr>
      <w:r>
        <w:rPr>
          <w:rFonts w:hint="eastAsia" w:ascii="仿宋" w:hAnsi="仿宋" w:eastAsia="仿宋" w:cs="MingLiU"/>
          <w:sz w:val="28"/>
          <w:szCs w:val="28"/>
        </w:rPr>
        <w:t>法定代表人或授权代理人签字：</w:t>
      </w:r>
    </w:p>
    <w:p>
      <w:pPr>
        <w:tabs>
          <w:tab w:val="left" w:pos="5640"/>
        </w:tabs>
        <w:rPr>
          <w:rFonts w:ascii="仿宋" w:hAnsi="仿宋" w:eastAsia="仿宋" w:cs="MingLiU"/>
          <w:sz w:val="28"/>
          <w:szCs w:val="28"/>
        </w:rPr>
      </w:pPr>
    </w:p>
    <w:p>
      <w:pPr>
        <w:tabs>
          <w:tab w:val="left" w:pos="5640"/>
        </w:tabs>
        <w:rPr>
          <w:rFonts w:ascii="仿宋" w:hAnsi="仿宋" w:eastAsia="仿宋" w:cs="MingLiU"/>
          <w:sz w:val="28"/>
          <w:szCs w:val="28"/>
        </w:rPr>
        <w:sectPr>
          <w:pgSz w:w="11920" w:h="16840"/>
          <w:pgMar w:top="1531" w:right="1247" w:bottom="1247" w:left="1701" w:header="720" w:footer="720" w:gutter="0"/>
          <w:cols w:space="720" w:num="1"/>
          <w:docGrid w:type="lines" w:linePitch="312" w:charSpace="0"/>
        </w:sectPr>
      </w:pPr>
      <w:r>
        <w:rPr>
          <w:rFonts w:hint="eastAsia" w:ascii="仿宋" w:hAnsi="仿宋" w:eastAsia="仿宋" w:cs="MingLiU"/>
          <w:sz w:val="28"/>
          <w:szCs w:val="28"/>
        </w:rPr>
        <w:t xml:space="preserve">                                年  月  日</w:t>
      </w:r>
    </w:p>
    <w:p>
      <w:pPr>
        <w:pStyle w:val="3"/>
        <w:spacing w:line="600" w:lineRule="auto"/>
        <w:jc w:val="center"/>
        <w:rPr>
          <w:rFonts w:ascii="仿宋" w:hAnsi="仿宋" w:eastAsia="仿宋"/>
          <w:sz w:val="28"/>
          <w:szCs w:val="28"/>
        </w:rPr>
      </w:pPr>
      <w:bookmarkStart w:id="6" w:name="_Toc422582350"/>
      <w:bookmarkStart w:id="7" w:name="_Toc369355213"/>
      <w:bookmarkStart w:id="8" w:name="_Toc418938016"/>
      <w:r>
        <w:rPr>
          <w:rFonts w:hint="eastAsia" w:ascii="仿宋" w:hAnsi="仿宋" w:eastAsia="仿宋"/>
          <w:sz w:val="28"/>
          <w:szCs w:val="28"/>
        </w:rPr>
        <w:t>二、</w:t>
      </w:r>
      <w:bookmarkStart w:id="9" w:name="_Toc342576376"/>
      <w:r>
        <w:rPr>
          <w:rFonts w:hint="eastAsia" w:ascii="仿宋" w:hAnsi="仿宋" w:eastAsia="仿宋"/>
          <w:sz w:val="28"/>
          <w:szCs w:val="28"/>
        </w:rPr>
        <w:t>法定代表人身份证明书</w:t>
      </w:r>
      <w:bookmarkEnd w:id="6"/>
      <w:bookmarkEnd w:id="7"/>
      <w:bookmarkEnd w:id="8"/>
      <w:bookmarkEnd w:id="9"/>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单位名称：</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单位性质：</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地    址：</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成立时间：</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经营期限:</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姓    名：         身份证号：            系</w:t>
      </w:r>
      <w:r>
        <w:rPr>
          <w:rFonts w:hint="eastAsia" w:ascii="仿宋" w:hAnsi="仿宋" w:eastAsia="仿宋" w:cs="MingLiU"/>
          <w:i/>
          <w:iCs/>
          <w:spacing w:val="3"/>
          <w:kern w:val="0"/>
          <w:sz w:val="28"/>
          <w:szCs w:val="28"/>
          <w:u w:val="single"/>
        </w:rPr>
        <w:t>(投标人名称）</w:t>
      </w:r>
      <w:r>
        <w:rPr>
          <w:rFonts w:hint="eastAsia" w:ascii="仿宋" w:hAnsi="仿宋" w:eastAsia="仿宋" w:cs="MingLiU"/>
          <w:spacing w:val="3"/>
          <w:kern w:val="0"/>
          <w:sz w:val="28"/>
          <w:szCs w:val="28"/>
        </w:rPr>
        <w:t>的法定代表人。</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特此证明。</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2582" w:firstLineChars="903"/>
        <w:rPr>
          <w:rFonts w:ascii="仿宋" w:hAnsi="仿宋" w:eastAsia="仿宋" w:cs="MingLiU"/>
          <w:spacing w:val="3"/>
          <w:kern w:val="0"/>
          <w:sz w:val="28"/>
          <w:szCs w:val="28"/>
        </w:rPr>
      </w:pPr>
      <w:r>
        <w:rPr>
          <w:rFonts w:hint="eastAsia" w:ascii="仿宋" w:hAnsi="仿宋" w:eastAsia="仿宋" w:cs="MingLiU"/>
          <w:spacing w:val="3"/>
          <w:kern w:val="0"/>
          <w:sz w:val="28"/>
          <w:szCs w:val="28"/>
        </w:rPr>
        <w:t>投标人：</w:t>
      </w:r>
      <w:r>
        <w:rPr>
          <w:rFonts w:hint="eastAsia" w:ascii="仿宋" w:hAnsi="仿宋" w:eastAsia="仿宋" w:cs="MingLiU"/>
          <w:spacing w:val="3"/>
          <w:kern w:val="0"/>
          <w:sz w:val="28"/>
          <w:szCs w:val="28"/>
          <w:u w:val="single"/>
        </w:rPr>
        <w:t xml:space="preserve">(公章)                      </w:t>
      </w:r>
    </w:p>
    <w:p>
      <w:pPr>
        <w:tabs>
          <w:tab w:val="left" w:pos="7434"/>
        </w:tabs>
        <w:autoSpaceDE w:val="0"/>
        <w:autoSpaceDN w:val="0"/>
        <w:adjustRightInd w:val="0"/>
        <w:spacing w:line="384" w:lineRule="auto"/>
        <w:ind w:right="80" w:firstLine="2574" w:firstLineChars="900"/>
        <w:rPr>
          <w:rFonts w:ascii="仿宋" w:hAnsi="仿宋" w:eastAsia="仿宋" w:cs="MingLiU"/>
          <w:kern w:val="0"/>
          <w:sz w:val="28"/>
          <w:szCs w:val="28"/>
        </w:rPr>
        <w:sectPr>
          <w:footerReference r:id="rId5" w:type="default"/>
          <w:pgSz w:w="11920" w:h="16840"/>
          <w:pgMar w:top="1701" w:right="1247" w:bottom="1247" w:left="1701" w:header="720" w:footer="720" w:gutter="0"/>
          <w:cols w:space="720" w:num="1"/>
          <w:docGrid w:type="lines" w:linePitch="286" w:charSpace="0"/>
        </w:sectPr>
      </w:pPr>
      <w:r>
        <w:rPr>
          <w:rFonts w:hint="eastAsia" w:ascii="仿宋" w:hAnsi="仿宋" w:eastAsia="仿宋" w:cs="MingLiU"/>
          <w:spacing w:val="3"/>
          <w:kern w:val="0"/>
          <w:sz w:val="28"/>
          <w:szCs w:val="28"/>
        </w:rPr>
        <w:t>日  期：</w:t>
      </w:r>
      <w:bookmarkStart w:id="10" w:name="_Toc342576377"/>
      <w:bookmarkStart w:id="11" w:name="_Toc369355214"/>
      <w:r>
        <w:rPr>
          <w:rFonts w:hint="eastAsia" w:ascii="仿宋" w:hAnsi="仿宋" w:eastAsia="仿宋" w:cs="MingLiU"/>
          <w:spacing w:val="3"/>
          <w:kern w:val="0"/>
          <w:sz w:val="28"/>
          <w:szCs w:val="28"/>
        </w:rPr>
        <w:t xml:space="preserve">    年    月    日</w:t>
      </w:r>
    </w:p>
    <w:p>
      <w:pPr>
        <w:rPr>
          <w:rFonts w:ascii="仿宋" w:hAnsi="仿宋" w:eastAsia="仿宋"/>
        </w:rPr>
      </w:pPr>
      <w:bookmarkStart w:id="12" w:name="_Toc418938017"/>
    </w:p>
    <w:p>
      <w:pPr>
        <w:pStyle w:val="3"/>
        <w:spacing w:line="600" w:lineRule="auto"/>
        <w:ind w:firstLine="3520" w:firstLineChars="1100"/>
        <w:rPr>
          <w:rFonts w:ascii="仿宋" w:hAnsi="仿宋" w:eastAsia="仿宋"/>
        </w:rPr>
      </w:pPr>
      <w:bookmarkStart w:id="13" w:name="_Toc422582351"/>
      <w:r>
        <w:rPr>
          <w:rFonts w:hint="eastAsia" w:ascii="仿宋" w:hAnsi="仿宋" w:eastAsia="仿宋"/>
        </w:rPr>
        <w:t>三、授权委托书</w:t>
      </w:r>
      <w:bookmarkEnd w:id="10"/>
      <w:bookmarkEnd w:id="11"/>
      <w:bookmarkEnd w:id="12"/>
      <w:bookmarkEnd w:id="13"/>
    </w:p>
    <w:p>
      <w:pPr>
        <w:rPr>
          <w:rFonts w:ascii="仿宋" w:hAnsi="仿宋" w:eastAsia="仿宋"/>
        </w:rPr>
      </w:pPr>
      <w:r>
        <w:rPr>
          <w:rFonts w:hint="eastAsia" w:ascii="仿宋" w:hAnsi="仿宋" w:eastAsia="仿宋" w:cs="MingLiU"/>
          <w:spacing w:val="3"/>
          <w:kern w:val="0"/>
          <w:sz w:val="28"/>
          <w:szCs w:val="28"/>
        </w:rPr>
        <w:t>本授权委托书声明：本人系的法定代表人，现代表本公司授权我单位</w:t>
      </w:r>
      <w:r>
        <w:rPr>
          <w:rFonts w:hint="eastAsia" w:ascii="仿宋" w:hAnsi="仿宋" w:eastAsia="仿宋" w:cs="MingLiU"/>
          <w:spacing w:val="3"/>
          <w:kern w:val="0"/>
          <w:sz w:val="28"/>
          <w:szCs w:val="28"/>
          <w:u w:val="single"/>
        </w:rPr>
        <w:t xml:space="preserve"> （部门、职务、姓名）   </w:t>
      </w:r>
      <w:r>
        <w:rPr>
          <w:rFonts w:hint="eastAsia" w:ascii="仿宋" w:hAnsi="仿宋" w:eastAsia="仿宋" w:cs="MingLiU"/>
          <w:spacing w:val="3"/>
          <w:kern w:val="0"/>
          <w:sz w:val="28"/>
          <w:szCs w:val="28"/>
        </w:rPr>
        <w:t>作为本公司的合法代理人，参加的</w:t>
      </w:r>
      <w:r>
        <w:rPr>
          <w:rFonts w:hint="eastAsia" w:ascii="仿宋" w:hAnsi="仿宋" w:eastAsia="仿宋" w:cs="MingLiU"/>
          <w:spacing w:val="3"/>
          <w:kern w:val="0"/>
          <w:sz w:val="28"/>
          <w:szCs w:val="28"/>
          <w:u w:val="single"/>
        </w:rPr>
        <w:t xml:space="preserve"> （项目名称）</w:t>
      </w:r>
      <w:r>
        <w:rPr>
          <w:rFonts w:hint="eastAsia" w:ascii="仿宋" w:hAnsi="仿宋" w:eastAsia="仿宋" w:cs="MingLiU"/>
          <w:spacing w:val="3"/>
          <w:kern w:val="0"/>
          <w:sz w:val="28"/>
          <w:szCs w:val="28"/>
        </w:rPr>
        <w:t>招标。授权代表签署与本次招标相关的一切文件和处理与之有关的一切事务，本人均予以承认。</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授权委托人无转委托权。</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本授权书与年月日签字或盖章后生效，特此声明。</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授权委托人（签字或盖章</w:t>
      </w:r>
      <w:r>
        <w:rPr>
          <w:rFonts w:ascii="仿宋" w:hAnsi="仿宋" w:eastAsia="仿宋" w:cs="MingLiU"/>
          <w:spacing w:val="3"/>
          <w:kern w:val="0"/>
          <w:sz w:val="28"/>
          <w:szCs w:val="28"/>
        </w:rPr>
        <w:t>）</w:t>
      </w:r>
      <w:r>
        <w:rPr>
          <w:rFonts w:hint="eastAsia" w:ascii="仿宋" w:hAnsi="仿宋" w:eastAsia="仿宋" w:cs="MingLiU"/>
          <w:spacing w:val="3"/>
          <w:kern w:val="0"/>
          <w:sz w:val="28"/>
          <w:szCs w:val="28"/>
        </w:rPr>
        <w:t>：</w:t>
      </w: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性别：     年龄：</w:t>
      </w:r>
    </w:p>
    <w:p>
      <w:pPr>
        <w:autoSpaceDE w:val="0"/>
        <w:autoSpaceDN w:val="0"/>
        <w:adjustRightInd w:val="0"/>
        <w:spacing w:line="384" w:lineRule="auto"/>
        <w:ind w:right="80" w:firstLine="3043" w:firstLineChars="1064"/>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部门：     职务：</w:t>
      </w:r>
    </w:p>
    <w:p>
      <w:pPr>
        <w:autoSpaceDE w:val="0"/>
        <w:autoSpaceDN w:val="0"/>
        <w:adjustRightInd w:val="0"/>
        <w:spacing w:line="384" w:lineRule="auto"/>
        <w:ind w:right="80" w:firstLine="3043" w:firstLineChars="1064"/>
        <w:rPr>
          <w:rFonts w:ascii="仿宋" w:hAnsi="仿宋" w:eastAsia="仿宋" w:cs="MingLiU"/>
          <w:spacing w:val="3"/>
          <w:kern w:val="0"/>
          <w:sz w:val="28"/>
          <w:szCs w:val="28"/>
          <w:u w:val="single"/>
        </w:rPr>
      </w:pP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投标单位(公章)：</w:t>
      </w: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法定代表人(签字或盖章)：</w:t>
      </w: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日    期：    年    月    日</w:t>
      </w:r>
    </w:p>
    <w:p>
      <w:pPr>
        <w:autoSpaceDE w:val="0"/>
        <w:autoSpaceDN w:val="0"/>
        <w:adjustRightInd w:val="0"/>
        <w:spacing w:line="384" w:lineRule="auto"/>
        <w:ind w:right="80" w:firstLine="3889" w:firstLineChars="1360"/>
        <w:rPr>
          <w:rFonts w:ascii="仿宋" w:hAnsi="仿宋" w:eastAsia="仿宋" w:cs="MingLiU"/>
          <w:spacing w:val="3"/>
          <w:kern w:val="0"/>
          <w:sz w:val="28"/>
          <w:szCs w:val="28"/>
        </w:rPr>
      </w:pPr>
      <w:r>
        <w:rPr>
          <w:rFonts w:hint="eastAsia" w:ascii="仿宋" w:hAnsi="仿宋" w:eastAsia="仿宋" w:cs="MingLiU"/>
          <w:spacing w:val="3"/>
          <w:kern w:val="0"/>
          <w:sz w:val="28"/>
          <w:szCs w:val="28"/>
        </w:rPr>
        <w:t xml:space="preserve">  </w:t>
      </w:r>
    </w:p>
    <w:p>
      <w:pPr>
        <w:pStyle w:val="2"/>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10"/>
        <w:adjustRightInd w:val="0"/>
        <w:snapToGrid w:val="0"/>
        <w:spacing w:line="360" w:lineRule="exact"/>
        <w:jc w:val="center"/>
        <w:rPr>
          <w:rFonts w:ascii="仿宋" w:hAnsi="仿宋" w:eastAsia="仿宋" w:cs="宋体"/>
          <w:bCs/>
          <w:iCs/>
          <w:kern w:val="0"/>
          <w:sz w:val="32"/>
          <w:szCs w:val="32"/>
        </w:rPr>
      </w:pPr>
      <w:r>
        <w:rPr>
          <w:rFonts w:hint="eastAsia" w:ascii="仿宋" w:hAnsi="仿宋" w:eastAsia="仿宋" w:cs="宋体"/>
          <w:bCs/>
          <w:iCs/>
          <w:kern w:val="0"/>
          <w:sz w:val="32"/>
          <w:szCs w:val="32"/>
        </w:rPr>
        <w:t>四、附件（携原件备查、复印件加盖公章）</w:t>
      </w:r>
      <w:bookmarkStart w:id="14" w:name="_Toc369355215"/>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1、营业执照复印</w:t>
      </w:r>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2、项目负责人身份证</w:t>
      </w:r>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3、业绩</w:t>
      </w:r>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4、方案、服务承诺及其他招标文件要求提供的资料（方案用A3，其他资料A4纸）</w:t>
      </w:r>
    </w:p>
    <w:p>
      <w:pPr>
        <w:pStyle w:val="10"/>
        <w:adjustRightInd w:val="0"/>
        <w:snapToGrid w:val="0"/>
        <w:spacing w:line="360" w:lineRule="exact"/>
        <w:jc w:val="left"/>
        <w:rPr>
          <w:rFonts w:ascii="仿宋" w:hAnsi="仿宋" w:eastAsia="仿宋"/>
        </w:rPr>
      </w:pPr>
    </w:p>
    <w:bookmarkEnd w:id="14"/>
    <w:p>
      <w:pPr>
        <w:autoSpaceDE w:val="0"/>
        <w:autoSpaceDN w:val="0"/>
        <w:adjustRightInd w:val="0"/>
        <w:spacing w:before="18" w:line="360" w:lineRule="auto"/>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autoSpaceDE w:val="0"/>
        <w:autoSpaceDN w:val="0"/>
        <w:adjustRightInd w:val="0"/>
        <w:spacing w:before="18" w:line="360" w:lineRule="auto"/>
        <w:ind w:firstLine="2409" w:firstLineChars="500"/>
        <w:rPr>
          <w:rFonts w:ascii="仿宋" w:hAnsi="仿宋" w:eastAsia="仿宋" w:cs="MingLiU"/>
          <w:b/>
          <w:bCs/>
          <w:color w:val="000000"/>
          <w:kern w:val="0"/>
          <w:sz w:val="48"/>
          <w:szCs w:val="48"/>
        </w:rPr>
      </w:pPr>
      <w:r>
        <w:rPr>
          <w:rFonts w:hint="eastAsia" w:ascii="仿宋" w:hAnsi="仿宋" w:eastAsia="仿宋" w:cs="MingLiU"/>
          <w:b/>
          <w:bCs/>
          <w:color w:val="000000"/>
          <w:kern w:val="0"/>
          <w:sz w:val="48"/>
          <w:szCs w:val="48"/>
        </w:rPr>
        <w:t>第五章    合  同</w:t>
      </w:r>
    </w:p>
    <w:p>
      <w:pPr>
        <w:pStyle w:val="10"/>
        <w:adjustRightInd w:val="0"/>
        <w:snapToGrid w:val="0"/>
        <w:spacing w:line="300" w:lineRule="auto"/>
        <w:ind w:left="420"/>
        <w:rPr>
          <w:rFonts w:ascii="仿宋_GB2312" w:hAnsi="Times New Roman" w:eastAsia="仿宋_GB2312"/>
          <w:sz w:val="24"/>
          <w:szCs w:val="24"/>
        </w:rPr>
      </w:pPr>
    </w:p>
    <w:p>
      <w:pPr>
        <w:pStyle w:val="3"/>
        <w:jc w:val="center"/>
        <w:rPr>
          <w:rFonts w:hAnsi="宋体"/>
          <w:color w:val="000000"/>
        </w:rPr>
      </w:pPr>
      <w:r>
        <w:rPr>
          <w:rFonts w:hint="eastAsia" w:hAnsi="宋体"/>
          <w:color w:val="000000"/>
        </w:rPr>
        <w:t>合同主要条款及格式</w:t>
      </w:r>
    </w:p>
    <w:p>
      <w:pPr>
        <w:jc w:val="center"/>
        <w:rPr>
          <w:rFonts w:ascii="宋体" w:hAnsi="宋体"/>
          <w:color w:val="000000"/>
          <w:sz w:val="36"/>
          <w:szCs w:val="36"/>
        </w:rPr>
      </w:pPr>
      <w:r>
        <w:rPr>
          <w:rFonts w:hint="eastAsia" w:ascii="宋体" w:hAnsi="宋体"/>
          <w:color w:val="000000"/>
          <w:sz w:val="36"/>
          <w:szCs w:val="36"/>
        </w:rPr>
        <w:t>（仅供参考）</w:t>
      </w:r>
    </w:p>
    <w:p>
      <w:pPr>
        <w:jc w:val="center"/>
        <w:rPr>
          <w:rFonts w:ascii="宋体" w:hAnsi="宋体"/>
          <w:color w:val="000000"/>
          <w:sz w:val="52"/>
        </w:rPr>
      </w:pPr>
    </w:p>
    <w:p>
      <w:pPr>
        <w:jc w:val="center"/>
        <w:rPr>
          <w:rFonts w:ascii="宋体" w:hAnsi="宋体"/>
          <w:color w:val="000000"/>
          <w:sz w:val="52"/>
        </w:rPr>
      </w:pPr>
      <w:r>
        <w:rPr>
          <w:rFonts w:hint="eastAsia" w:ascii="宋体" w:hAnsi="宋体"/>
          <w:color w:val="000000"/>
          <w:sz w:val="52"/>
        </w:rPr>
        <w:t>合同</w:t>
      </w: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pStyle w:val="5"/>
        <w:rPr>
          <w:rFonts w:ascii="宋体" w:hAnsi="宋体"/>
          <w:color w:val="000000"/>
          <w:sz w:val="36"/>
        </w:rPr>
      </w:pPr>
    </w:p>
    <w:p/>
    <w:p>
      <w:pPr>
        <w:ind w:firstLine="1929" w:firstLineChars="536"/>
        <w:rPr>
          <w:rFonts w:ascii="宋体" w:hAnsi="宋体"/>
          <w:color w:val="000000"/>
          <w:sz w:val="36"/>
        </w:rPr>
      </w:pPr>
    </w:p>
    <w:p>
      <w:pPr>
        <w:ind w:firstLine="1918"/>
        <w:rPr>
          <w:rFonts w:ascii="宋体" w:hAnsi="宋体"/>
          <w:color w:val="000000"/>
          <w:sz w:val="36"/>
          <w:u w:val="single"/>
        </w:rPr>
      </w:pPr>
      <w:r>
        <w:rPr>
          <w:rFonts w:hint="eastAsia" w:ascii="宋体" w:hAnsi="宋体"/>
          <w:color w:val="000000"/>
          <w:sz w:val="36"/>
        </w:rPr>
        <w:t>项目名称 ：</w:t>
      </w:r>
    </w:p>
    <w:p>
      <w:pPr>
        <w:ind w:firstLine="1918"/>
        <w:rPr>
          <w:rFonts w:ascii="宋体" w:hAnsi="宋体"/>
          <w:color w:val="000000"/>
          <w:sz w:val="36"/>
          <w:u w:val="single"/>
        </w:rPr>
      </w:pPr>
      <w:r>
        <w:rPr>
          <w:rFonts w:hint="eastAsia" w:ascii="宋体" w:hAnsi="宋体"/>
          <w:color w:val="000000"/>
          <w:sz w:val="36"/>
        </w:rPr>
        <w:t>甲方单位 ：</w:t>
      </w:r>
    </w:p>
    <w:p>
      <w:pPr>
        <w:ind w:firstLine="1916"/>
        <w:rPr>
          <w:rFonts w:ascii="宋体" w:hAnsi="宋体"/>
          <w:color w:val="000000"/>
          <w:sz w:val="36"/>
        </w:rPr>
      </w:pPr>
      <w:r>
        <w:rPr>
          <w:rFonts w:hint="eastAsia" w:ascii="宋体" w:hAnsi="宋体"/>
          <w:color w:val="000000"/>
          <w:sz w:val="36"/>
        </w:rPr>
        <w:t>乙方单位 ：</w:t>
      </w:r>
    </w:p>
    <w:p>
      <w:pPr>
        <w:ind w:firstLine="1916"/>
        <w:rPr>
          <w:rFonts w:ascii="宋体" w:hAnsi="宋体"/>
          <w:color w:val="000000"/>
          <w:sz w:val="36"/>
        </w:rPr>
      </w:pPr>
      <w:r>
        <w:rPr>
          <w:rFonts w:hint="eastAsia" w:ascii="宋体" w:hAnsi="宋体"/>
          <w:color w:val="000000"/>
          <w:sz w:val="36"/>
        </w:rPr>
        <w:t>签订日期 ：</w:t>
      </w:r>
    </w:p>
    <w:p>
      <w:pPr>
        <w:autoSpaceDE w:val="0"/>
        <w:autoSpaceDN w:val="0"/>
        <w:adjustRightInd w:val="0"/>
        <w:snapToGrid w:val="0"/>
        <w:spacing w:line="360" w:lineRule="auto"/>
        <w:ind w:firstLine="420" w:firstLineChars="200"/>
        <w:rPr>
          <w:rFonts w:ascii="宋体" w:hAnsi="宋体"/>
          <w:szCs w:val="21"/>
        </w:rPr>
      </w:pPr>
    </w:p>
    <w:tbl>
      <w:tblPr>
        <w:tblStyle w:val="19"/>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采购人（以下称甲方）：</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投标人：（以下称乙方）</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住所地：</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住所地：</w:t>
            </w:r>
          </w:p>
        </w:tc>
      </w:tr>
    </w:tbl>
    <w:p>
      <w:pPr>
        <w:rPr>
          <w:rFonts w:ascii="仿宋" w:hAnsi="仿宋" w:eastAsia="仿宋" w:cs="MingLiU"/>
          <w:spacing w:val="3"/>
          <w:kern w:val="0"/>
          <w:sz w:val="28"/>
          <w:szCs w:val="28"/>
        </w:rPr>
      </w:pP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 xml:space="preserve">根据的招标结果和《中华人民共和国民法典》及相关法律法规的规定，经（以下简称甲方）与（以下简称乙方）友好协商，就乙方向甲方提供                       达成合同如下：第一条 合同标的 乙方根据甲方要求提供下列服务：                                  </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服务内容详见乙方响应性文件等。</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第二条 合同总价款 本合同项下服务单价为</w:t>
      </w:r>
      <w:r>
        <w:rPr>
          <w:rFonts w:hint="eastAsia" w:ascii="仿宋" w:hAnsi="仿宋" w:eastAsia="仿宋" w:cs="MingLiU"/>
          <w:spacing w:val="3"/>
          <w:kern w:val="0"/>
          <w:sz w:val="28"/>
          <w:szCs w:val="28"/>
          <w:u w:val="single"/>
        </w:rPr>
        <w:t>___________</w:t>
      </w:r>
      <w:r>
        <w:rPr>
          <w:rFonts w:hint="eastAsia" w:ascii="仿宋" w:hAnsi="仿宋" w:eastAsia="仿宋" w:cs="MingLiU"/>
          <w:spacing w:val="3"/>
          <w:kern w:val="0"/>
          <w:sz w:val="28"/>
          <w:szCs w:val="28"/>
        </w:rPr>
        <w:t>（大写）人民币，总价款为（大写）人民币，分项价款在“分项报价表”中有明确规定。</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第三条 组成本合同的有关文件  下列关于南京市溧水区政府采购            号采购文件和有关附件是本合同不可分割的组成部分，与本合同具有同等法律效力。</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第四条 权利保证</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乙方应保证为甲方提供货物和服务任何一部分时不受第三方提出侵犯其专利权、版权、商标权或其他权利的起诉。一旦出现侵权，乙方应承担全部责任。</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第五条 质量保证</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乙方提供的服务必须全部达到采购文件各项要求，国家或行业有规定的，还要符合相应规定。维保期满前，乙方应根据甲方要求提供完整的文档资料，并配合甲方做好下一维保年度的衔接工作。</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第六条 交付使用和验收</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1、乙方应当在合同签订后</w:t>
      </w:r>
      <w:r>
        <w:rPr>
          <w:rFonts w:hint="eastAsia" w:ascii="仿宋" w:hAnsi="仿宋" w:eastAsia="仿宋" w:cs="MingLiU"/>
          <w:spacing w:val="3"/>
          <w:kern w:val="0"/>
          <w:sz w:val="28"/>
          <w:szCs w:val="28"/>
          <w:u w:val="single"/>
        </w:rPr>
        <w:t xml:space="preserve">   </w:t>
      </w:r>
      <w:r>
        <w:rPr>
          <w:rFonts w:hint="eastAsia" w:ascii="仿宋" w:hAnsi="仿宋" w:eastAsia="仿宋" w:cs="MingLiU"/>
          <w:spacing w:val="3"/>
          <w:kern w:val="0"/>
          <w:sz w:val="28"/>
          <w:szCs w:val="28"/>
        </w:rPr>
        <w:t>日内完成采购文件规定的项目并交付甲方使用。采购文件有约定的，从其约定。</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2、甲方自行组织或视情邀请相关专家或国家认可的质量检测机构参加验收，乙方提供的服务不符合采购文件和合同规定的，甲方有权拒收，并承担验收费用等。</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第七条 合同款支付</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1、本合同项下所有款项均以人民币支付。</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2、付款条件：</w:t>
      </w:r>
    </w:p>
    <w:p>
      <w:pPr>
        <w:rPr>
          <w:rFonts w:ascii="仿宋" w:hAnsi="仿宋" w:eastAsia="仿宋" w:cs="MingLiU"/>
          <w:color w:val="FF0000"/>
          <w:spacing w:val="3"/>
          <w:kern w:val="0"/>
          <w:sz w:val="28"/>
          <w:szCs w:val="28"/>
        </w:rPr>
      </w:pPr>
      <w:r>
        <w:rPr>
          <w:rFonts w:hint="eastAsia" w:ascii="仿宋" w:hAnsi="仿宋" w:eastAsia="仿宋" w:cs="MingLiU"/>
          <w:color w:val="FF0000"/>
          <w:spacing w:val="3"/>
          <w:kern w:val="0"/>
          <w:sz w:val="28"/>
          <w:szCs w:val="28"/>
        </w:rPr>
        <w:t>（1）服装设计深化方案经采购人确认后支付合同价的30%，</w:t>
      </w:r>
    </w:p>
    <w:p>
      <w:pPr>
        <w:rPr>
          <w:rFonts w:ascii="仿宋" w:hAnsi="仿宋" w:eastAsia="仿宋" w:cs="MingLiU"/>
          <w:color w:val="FF0000"/>
          <w:spacing w:val="3"/>
          <w:kern w:val="0"/>
          <w:sz w:val="28"/>
          <w:szCs w:val="28"/>
        </w:rPr>
      </w:pPr>
      <w:r>
        <w:rPr>
          <w:rFonts w:hint="eastAsia" w:ascii="仿宋" w:hAnsi="仿宋" w:eastAsia="仿宋" w:cs="MingLiU"/>
          <w:color w:val="FF0000"/>
          <w:spacing w:val="3"/>
          <w:kern w:val="0"/>
          <w:sz w:val="28"/>
          <w:szCs w:val="28"/>
        </w:rPr>
        <w:t>（2）全部供货服装运至采购人处、经采购人接收后付至合同价的70%；</w:t>
      </w:r>
    </w:p>
    <w:p>
      <w:pPr>
        <w:rPr>
          <w:rFonts w:ascii="仿宋" w:hAnsi="仿宋" w:eastAsia="仿宋" w:cs="MingLiU"/>
          <w:color w:val="FF0000"/>
          <w:spacing w:val="3"/>
          <w:kern w:val="0"/>
          <w:sz w:val="28"/>
          <w:szCs w:val="28"/>
        </w:rPr>
      </w:pPr>
      <w:r>
        <w:rPr>
          <w:rFonts w:hint="eastAsia" w:ascii="仿宋" w:hAnsi="仿宋" w:eastAsia="仿宋" w:cs="MingLiU"/>
          <w:color w:val="FF0000"/>
          <w:spacing w:val="3"/>
          <w:kern w:val="0"/>
          <w:sz w:val="28"/>
          <w:szCs w:val="28"/>
        </w:rPr>
        <w:t>（3）服装全部调换结束、办理验收合格手续后付至合同价的95%；</w:t>
      </w:r>
    </w:p>
    <w:p>
      <w:pPr>
        <w:rPr>
          <w:rFonts w:ascii="仿宋" w:hAnsi="仿宋" w:eastAsia="仿宋" w:cs="MingLiU"/>
          <w:color w:val="FF0000"/>
          <w:spacing w:val="3"/>
          <w:kern w:val="0"/>
          <w:sz w:val="28"/>
          <w:szCs w:val="28"/>
        </w:rPr>
      </w:pPr>
      <w:r>
        <w:rPr>
          <w:rFonts w:hint="eastAsia" w:ascii="仿宋" w:hAnsi="仿宋" w:eastAsia="仿宋" w:cs="MingLiU"/>
          <w:color w:val="FF0000"/>
          <w:spacing w:val="3"/>
          <w:kern w:val="0"/>
          <w:sz w:val="28"/>
          <w:szCs w:val="28"/>
        </w:rPr>
        <w:t>（4）剩余5%作为质保金一年后无息付清。</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第八条 违约责任</w:t>
      </w:r>
      <w:r>
        <w:rPr>
          <w:rFonts w:hint="eastAsia" w:ascii="仿宋" w:hAnsi="仿宋" w:eastAsia="仿宋" w:cs="MingLiU"/>
          <w:spacing w:val="3"/>
          <w:kern w:val="0"/>
          <w:sz w:val="28"/>
          <w:szCs w:val="28"/>
        </w:rPr>
        <w:tab/>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１、甲方无正当理由拒绝验收或拒付款的，甲方向乙方偿付合同总价的5%违约金。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２、甲方未按合同规定的期限向乙方支付合同款的，每逾期1天甲方向乙方偿付欠款总额的5‰滞纳金，但累计滞纳金总额不超过欠款总额的5% 。</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３、如乙方不能按期交付服务的，乙方应向甲方支付合同总价5%的违约金。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４、乙方逾期交付的，每逾期1天，乙方向甲方偿付合同总额的5‰的滞纳金。如乙方逾期交付达10天，甲方有权解除合同，解除合同的通知自到达乙方时生效。乙方逾期交付的，今后参加政府采购信誉将受到影响。</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5、乙方在承担违约责任后，仍应继续履行合同规定的义务（甲方解除合同的除外）。甲方未能及时追究乙方的任何一项违约责任并不表明甲方放弃追究乙方该项或其他违约责任。</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6、乙方虚假承诺，或经权威部门检测提供的货物和服务不能满足采购文件要求，或是由于乙方的过错造成合同无法继续履行的，应向甲方支付不少于合同总价30%赔偿金。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7、维保期满前，若乙方未按时、按甲方要求提供相关文档资料，或不配合甲方做好下一维保年度的衔接工作的承担违约责任，同时乙方应向甲方支付合同总价5%的违约金。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第九条 合同的变更和终止</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1、除《政府采购法》第50条第二款规定的情形外，本合同一经签订，甲乙双方不得擅自变更、中止或终止合同。</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2、除发生法律规定的不能预见、不能避免并不能克服的客观情况外，甲乙双方不得放弃或拒绝履行合同。乙方放弃或拒绝履行合同，保证金不予退还，在三年内不得参加南京市溧水分中心组织的政府采购活动。</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第十条 合同的转让</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乙方不得擅自部分或全部转让其应履行的合同义务。</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第十一条 争议的解决</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1、因履行本合同引起的或与本合同有关的争议，甲、乙双方应首先通过友好协商解决，如果协商不能解决争议，则采取以下第（2）种方式解决争议：</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（1）向甲方所在地有管辖权的人民法院提起诉讼；</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（2）向南京仲裁委员会按其仲裁规则申请仲裁。</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3、在仲裁期间，本合同应继续履行。</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 xml:space="preserve">第十二条 诚实信用 </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乙方应诚实信用，严格按照采购文件要求和承诺履行合同，不向甲方进行商业贿赂或者提供不正当利益。</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第十三条 合同生效及其他</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1、本合同自签订之日起生效。</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2、本合同一式四份，甲乙双方各执一份，一份交溧水分中心存档，一份报送政府采购监督管理部门备案。</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3、本合同应按照中华人民共和国的现行法律进行解释。</w:t>
      </w:r>
    </w:p>
    <w:tbl>
      <w:tblPr>
        <w:tblStyle w:val="19"/>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甲方（采购人）：（盖章）</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乙方（投标人）：（盖章）</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代表人：</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代表人：</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电    话：</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电    话：</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开户银行：</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开户银行：</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帐    号：</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帐    号：</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日      期：     年    月    日</w:t>
            </w:r>
          </w:p>
        </w:tc>
        <w:tc>
          <w:tcPr>
            <w:tcW w:w="4643" w:type="dxa"/>
            <w:tcBorders>
              <w:top w:val="nil"/>
              <w:left w:val="nil"/>
              <w:bottom w:val="nil"/>
              <w:right w:val="nil"/>
            </w:tcBorders>
            <w:noWrap/>
          </w:tcPr>
          <w:p>
            <w:pPr>
              <w:rPr>
                <w:rFonts w:ascii="仿宋" w:hAnsi="仿宋" w:eastAsia="仿宋" w:cs="MingLiU"/>
                <w:spacing w:val="3"/>
                <w:kern w:val="0"/>
                <w:sz w:val="28"/>
                <w:szCs w:val="28"/>
              </w:rPr>
            </w:pPr>
          </w:p>
        </w:tc>
      </w:tr>
    </w:tbl>
    <w:p>
      <w:pPr>
        <w:rPr>
          <w:rFonts w:ascii="仿宋" w:hAnsi="仿宋" w:eastAsia="仿宋" w:cs="MingLiU"/>
          <w:spacing w:val="3"/>
          <w:kern w:val="0"/>
          <w:sz w:val="28"/>
          <w:szCs w:val="28"/>
        </w:rPr>
      </w:pPr>
    </w:p>
    <w:p>
      <w:pPr>
        <w:jc w:val="left"/>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59" w:rightChars="171"/>
      <w:rPr>
        <w:rFonts w:ascii="黑体" w:eastAsia="黑体"/>
        <w:color w:val="33CCC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56"/>
      <w:rPr>
        <w:rFonts w:ascii="黑体" w:eastAsia="黑体"/>
        <w:color w:val="33CCCC"/>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240"/>
        <w:tab w:val="clear" w:pos="8306"/>
      </w:tabs>
      <w:spacing w:line="240" w:lineRule="exact"/>
      <w:jc w:val="both"/>
      <w:rPr>
        <w:bCs/>
        <w:iCs/>
        <w:snapToGrid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54448"/>
    <w:multiLevelType w:val="singleLevel"/>
    <w:tmpl w:val="8D554448"/>
    <w:lvl w:ilvl="0" w:tentative="0">
      <w:start w:val="2"/>
      <w:numFmt w:val="decimal"/>
      <w:suff w:val="nothing"/>
      <w:lvlText w:val="%1、"/>
      <w:lvlJc w:val="left"/>
    </w:lvl>
  </w:abstractNum>
  <w:abstractNum w:abstractNumId="1">
    <w:nsid w:val="485C40F6"/>
    <w:multiLevelType w:val="multilevel"/>
    <w:tmpl w:val="485C40F6"/>
    <w:lvl w:ilvl="0" w:tentative="0">
      <w:start w:val="4"/>
      <w:numFmt w:val="japaneseCounting"/>
      <w:lvlText w:val="%1、"/>
      <w:lvlJc w:val="left"/>
      <w:pPr>
        <w:ind w:left="3585" w:hanging="720"/>
      </w:pPr>
      <w:rPr>
        <w:rFonts w:hint="default"/>
      </w:rPr>
    </w:lvl>
    <w:lvl w:ilvl="1" w:tentative="0">
      <w:start w:val="1"/>
      <w:numFmt w:val="lowerLetter"/>
      <w:lvlText w:val="%2)"/>
      <w:lvlJc w:val="left"/>
      <w:pPr>
        <w:ind w:left="3705" w:hanging="420"/>
      </w:pPr>
    </w:lvl>
    <w:lvl w:ilvl="2" w:tentative="0">
      <w:start w:val="1"/>
      <w:numFmt w:val="lowerRoman"/>
      <w:lvlText w:val="%3."/>
      <w:lvlJc w:val="right"/>
      <w:pPr>
        <w:ind w:left="4125" w:hanging="420"/>
      </w:pPr>
    </w:lvl>
    <w:lvl w:ilvl="3" w:tentative="0">
      <w:start w:val="1"/>
      <w:numFmt w:val="decimal"/>
      <w:lvlText w:val="%4."/>
      <w:lvlJc w:val="left"/>
      <w:pPr>
        <w:ind w:left="4545" w:hanging="420"/>
      </w:pPr>
    </w:lvl>
    <w:lvl w:ilvl="4" w:tentative="0">
      <w:start w:val="1"/>
      <w:numFmt w:val="lowerLetter"/>
      <w:lvlText w:val="%5)"/>
      <w:lvlJc w:val="left"/>
      <w:pPr>
        <w:ind w:left="4965" w:hanging="420"/>
      </w:pPr>
    </w:lvl>
    <w:lvl w:ilvl="5" w:tentative="0">
      <w:start w:val="1"/>
      <w:numFmt w:val="lowerRoman"/>
      <w:lvlText w:val="%6."/>
      <w:lvlJc w:val="right"/>
      <w:pPr>
        <w:ind w:left="5385" w:hanging="420"/>
      </w:pPr>
    </w:lvl>
    <w:lvl w:ilvl="6" w:tentative="0">
      <w:start w:val="1"/>
      <w:numFmt w:val="decimal"/>
      <w:lvlText w:val="%7."/>
      <w:lvlJc w:val="left"/>
      <w:pPr>
        <w:ind w:left="5805" w:hanging="420"/>
      </w:pPr>
    </w:lvl>
    <w:lvl w:ilvl="7" w:tentative="0">
      <w:start w:val="1"/>
      <w:numFmt w:val="lowerLetter"/>
      <w:lvlText w:val="%8)"/>
      <w:lvlJc w:val="left"/>
      <w:pPr>
        <w:ind w:left="6225" w:hanging="420"/>
      </w:pPr>
    </w:lvl>
    <w:lvl w:ilvl="8" w:tentative="0">
      <w:start w:val="1"/>
      <w:numFmt w:val="lowerRoman"/>
      <w:lvlText w:val="%9."/>
      <w:lvlJc w:val="right"/>
      <w:pPr>
        <w:ind w:left="6645" w:hanging="420"/>
      </w:pPr>
    </w:lvl>
  </w:abstractNum>
  <w:abstractNum w:abstractNumId="2">
    <w:nsid w:val="55BDB976"/>
    <w:multiLevelType w:val="singleLevel"/>
    <w:tmpl w:val="55BDB97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MwMDdkODQzNGQzNGI0OWIzMjUyMzEwMDNjOTYwMTcifQ=="/>
  </w:docVars>
  <w:rsids>
    <w:rsidRoot w:val="54BB5E39"/>
    <w:rsid w:val="000048B4"/>
    <w:rsid w:val="000419B8"/>
    <w:rsid w:val="00042322"/>
    <w:rsid w:val="00051FA6"/>
    <w:rsid w:val="00055C8D"/>
    <w:rsid w:val="00056EFC"/>
    <w:rsid w:val="00056F42"/>
    <w:rsid w:val="000617FE"/>
    <w:rsid w:val="000662E2"/>
    <w:rsid w:val="00070016"/>
    <w:rsid w:val="00073BC8"/>
    <w:rsid w:val="000814D3"/>
    <w:rsid w:val="0008421F"/>
    <w:rsid w:val="000872D1"/>
    <w:rsid w:val="00092B48"/>
    <w:rsid w:val="000A19F7"/>
    <w:rsid w:val="000B68D1"/>
    <w:rsid w:val="000D5DE2"/>
    <w:rsid w:val="000E6638"/>
    <w:rsid w:val="00101E51"/>
    <w:rsid w:val="00111D81"/>
    <w:rsid w:val="001369EA"/>
    <w:rsid w:val="00150BF1"/>
    <w:rsid w:val="001537E7"/>
    <w:rsid w:val="00154184"/>
    <w:rsid w:val="001545A2"/>
    <w:rsid w:val="001627E7"/>
    <w:rsid w:val="001672C8"/>
    <w:rsid w:val="00174EBD"/>
    <w:rsid w:val="00190A22"/>
    <w:rsid w:val="00191670"/>
    <w:rsid w:val="001A09B3"/>
    <w:rsid w:val="001A730E"/>
    <w:rsid w:val="001B0AA5"/>
    <w:rsid w:val="001B57B5"/>
    <w:rsid w:val="001D5B40"/>
    <w:rsid w:val="001D5E19"/>
    <w:rsid w:val="001E0748"/>
    <w:rsid w:val="001E61BF"/>
    <w:rsid w:val="001F4D1D"/>
    <w:rsid w:val="00205315"/>
    <w:rsid w:val="0020696D"/>
    <w:rsid w:val="00210D02"/>
    <w:rsid w:val="002116CB"/>
    <w:rsid w:val="00230E37"/>
    <w:rsid w:val="002341EC"/>
    <w:rsid w:val="0023488A"/>
    <w:rsid w:val="00255C82"/>
    <w:rsid w:val="0026587E"/>
    <w:rsid w:val="00272F95"/>
    <w:rsid w:val="00277C60"/>
    <w:rsid w:val="002807FF"/>
    <w:rsid w:val="00284441"/>
    <w:rsid w:val="00286DA5"/>
    <w:rsid w:val="0029417B"/>
    <w:rsid w:val="00296D6F"/>
    <w:rsid w:val="002A0D07"/>
    <w:rsid w:val="002A302C"/>
    <w:rsid w:val="002A3D38"/>
    <w:rsid w:val="002B7414"/>
    <w:rsid w:val="002C1A05"/>
    <w:rsid w:val="002D078A"/>
    <w:rsid w:val="002D4F52"/>
    <w:rsid w:val="002F0476"/>
    <w:rsid w:val="002F1D72"/>
    <w:rsid w:val="00300A1C"/>
    <w:rsid w:val="00302E9A"/>
    <w:rsid w:val="00304401"/>
    <w:rsid w:val="003067E5"/>
    <w:rsid w:val="003115FD"/>
    <w:rsid w:val="0032487D"/>
    <w:rsid w:val="00333212"/>
    <w:rsid w:val="00333F29"/>
    <w:rsid w:val="003363BA"/>
    <w:rsid w:val="003368CE"/>
    <w:rsid w:val="00341C37"/>
    <w:rsid w:val="00343046"/>
    <w:rsid w:val="00354A97"/>
    <w:rsid w:val="00354ED5"/>
    <w:rsid w:val="00371DE9"/>
    <w:rsid w:val="00372EF1"/>
    <w:rsid w:val="00376301"/>
    <w:rsid w:val="003801ED"/>
    <w:rsid w:val="00390D4C"/>
    <w:rsid w:val="00396A2F"/>
    <w:rsid w:val="003B5736"/>
    <w:rsid w:val="003C6235"/>
    <w:rsid w:val="003E0E25"/>
    <w:rsid w:val="003E1A8F"/>
    <w:rsid w:val="003E1B89"/>
    <w:rsid w:val="004008BF"/>
    <w:rsid w:val="004051AE"/>
    <w:rsid w:val="00407229"/>
    <w:rsid w:val="004234BD"/>
    <w:rsid w:val="00424D0E"/>
    <w:rsid w:val="00433F8F"/>
    <w:rsid w:val="00436647"/>
    <w:rsid w:val="004537A1"/>
    <w:rsid w:val="00456E87"/>
    <w:rsid w:val="004641A9"/>
    <w:rsid w:val="0046726B"/>
    <w:rsid w:val="004674C6"/>
    <w:rsid w:val="00470144"/>
    <w:rsid w:val="004905A8"/>
    <w:rsid w:val="00494BDE"/>
    <w:rsid w:val="004A38E2"/>
    <w:rsid w:val="004B6BCD"/>
    <w:rsid w:val="004D500F"/>
    <w:rsid w:val="004D63E7"/>
    <w:rsid w:val="004D6AF3"/>
    <w:rsid w:val="004E5AE4"/>
    <w:rsid w:val="004F4EA2"/>
    <w:rsid w:val="005001E1"/>
    <w:rsid w:val="005270C7"/>
    <w:rsid w:val="005317EE"/>
    <w:rsid w:val="00555917"/>
    <w:rsid w:val="00561A15"/>
    <w:rsid w:val="005624EA"/>
    <w:rsid w:val="0057618C"/>
    <w:rsid w:val="00580412"/>
    <w:rsid w:val="00591EEC"/>
    <w:rsid w:val="00594352"/>
    <w:rsid w:val="005A5B6A"/>
    <w:rsid w:val="005C32E9"/>
    <w:rsid w:val="005D3E9B"/>
    <w:rsid w:val="005D4DB4"/>
    <w:rsid w:val="005F0E52"/>
    <w:rsid w:val="00612121"/>
    <w:rsid w:val="00621E96"/>
    <w:rsid w:val="006235F5"/>
    <w:rsid w:val="00633832"/>
    <w:rsid w:val="0063399E"/>
    <w:rsid w:val="00644421"/>
    <w:rsid w:val="006721D4"/>
    <w:rsid w:val="00676CB7"/>
    <w:rsid w:val="00695F34"/>
    <w:rsid w:val="006A015B"/>
    <w:rsid w:val="006A0D4E"/>
    <w:rsid w:val="006C1754"/>
    <w:rsid w:val="006D4EA2"/>
    <w:rsid w:val="006D548E"/>
    <w:rsid w:val="006E1EA1"/>
    <w:rsid w:val="006E31AB"/>
    <w:rsid w:val="006F240B"/>
    <w:rsid w:val="0070235F"/>
    <w:rsid w:val="00703A03"/>
    <w:rsid w:val="007066A7"/>
    <w:rsid w:val="00711865"/>
    <w:rsid w:val="007205C4"/>
    <w:rsid w:val="00720A1C"/>
    <w:rsid w:val="00722EC1"/>
    <w:rsid w:val="0074061E"/>
    <w:rsid w:val="007439C4"/>
    <w:rsid w:val="007716E8"/>
    <w:rsid w:val="0077336C"/>
    <w:rsid w:val="007A3F4B"/>
    <w:rsid w:val="007B241F"/>
    <w:rsid w:val="007B5E5F"/>
    <w:rsid w:val="007B6FAE"/>
    <w:rsid w:val="007B73CF"/>
    <w:rsid w:val="007C3ADB"/>
    <w:rsid w:val="007C6F9E"/>
    <w:rsid w:val="007D31F0"/>
    <w:rsid w:val="007E6852"/>
    <w:rsid w:val="008114D7"/>
    <w:rsid w:val="00812756"/>
    <w:rsid w:val="00813052"/>
    <w:rsid w:val="00815720"/>
    <w:rsid w:val="008163E5"/>
    <w:rsid w:val="008177F9"/>
    <w:rsid w:val="008366D6"/>
    <w:rsid w:val="008500C5"/>
    <w:rsid w:val="008518D2"/>
    <w:rsid w:val="00893A9F"/>
    <w:rsid w:val="00893B1D"/>
    <w:rsid w:val="008947DC"/>
    <w:rsid w:val="008A605B"/>
    <w:rsid w:val="008A7404"/>
    <w:rsid w:val="008B17E0"/>
    <w:rsid w:val="008B18F5"/>
    <w:rsid w:val="008C3E87"/>
    <w:rsid w:val="008D2C6F"/>
    <w:rsid w:val="008D49B8"/>
    <w:rsid w:val="008E0312"/>
    <w:rsid w:val="008F1663"/>
    <w:rsid w:val="00911DC5"/>
    <w:rsid w:val="00920EA5"/>
    <w:rsid w:val="009213B1"/>
    <w:rsid w:val="00923337"/>
    <w:rsid w:val="00936B55"/>
    <w:rsid w:val="00937DAD"/>
    <w:rsid w:val="00945158"/>
    <w:rsid w:val="009519E8"/>
    <w:rsid w:val="00973249"/>
    <w:rsid w:val="00973D21"/>
    <w:rsid w:val="0099011A"/>
    <w:rsid w:val="009B032A"/>
    <w:rsid w:val="009C5FAE"/>
    <w:rsid w:val="009D0AE9"/>
    <w:rsid w:val="009D783E"/>
    <w:rsid w:val="009E505B"/>
    <w:rsid w:val="009E7209"/>
    <w:rsid w:val="009F58EB"/>
    <w:rsid w:val="00A1320B"/>
    <w:rsid w:val="00A13641"/>
    <w:rsid w:val="00A16782"/>
    <w:rsid w:val="00A24ED1"/>
    <w:rsid w:val="00A36D0A"/>
    <w:rsid w:val="00A546B6"/>
    <w:rsid w:val="00A56CAD"/>
    <w:rsid w:val="00A648F3"/>
    <w:rsid w:val="00A73BAF"/>
    <w:rsid w:val="00A96652"/>
    <w:rsid w:val="00AB13DE"/>
    <w:rsid w:val="00AB410E"/>
    <w:rsid w:val="00AC073F"/>
    <w:rsid w:val="00AC62D2"/>
    <w:rsid w:val="00AD75B8"/>
    <w:rsid w:val="00AE0621"/>
    <w:rsid w:val="00AE0D28"/>
    <w:rsid w:val="00AF1A4A"/>
    <w:rsid w:val="00AF2F80"/>
    <w:rsid w:val="00B3458F"/>
    <w:rsid w:val="00B357F9"/>
    <w:rsid w:val="00B455D1"/>
    <w:rsid w:val="00B469AE"/>
    <w:rsid w:val="00B5269D"/>
    <w:rsid w:val="00B65ACB"/>
    <w:rsid w:val="00B66A86"/>
    <w:rsid w:val="00B81E55"/>
    <w:rsid w:val="00B86411"/>
    <w:rsid w:val="00B9049D"/>
    <w:rsid w:val="00B9067A"/>
    <w:rsid w:val="00BA270B"/>
    <w:rsid w:val="00BB04E4"/>
    <w:rsid w:val="00BC2A96"/>
    <w:rsid w:val="00BC3EF7"/>
    <w:rsid w:val="00BC5283"/>
    <w:rsid w:val="00BD35F2"/>
    <w:rsid w:val="00BD3A5C"/>
    <w:rsid w:val="00BD59C4"/>
    <w:rsid w:val="00BD674F"/>
    <w:rsid w:val="00BE2FBA"/>
    <w:rsid w:val="00BE3820"/>
    <w:rsid w:val="00BF386C"/>
    <w:rsid w:val="00C03A54"/>
    <w:rsid w:val="00C14B81"/>
    <w:rsid w:val="00C17015"/>
    <w:rsid w:val="00C21584"/>
    <w:rsid w:val="00C31FD8"/>
    <w:rsid w:val="00C44D14"/>
    <w:rsid w:val="00C502D3"/>
    <w:rsid w:val="00C55EFF"/>
    <w:rsid w:val="00C619B3"/>
    <w:rsid w:val="00C67379"/>
    <w:rsid w:val="00C704BC"/>
    <w:rsid w:val="00C74499"/>
    <w:rsid w:val="00C7576A"/>
    <w:rsid w:val="00C80D0D"/>
    <w:rsid w:val="00C85B64"/>
    <w:rsid w:val="00C8717E"/>
    <w:rsid w:val="00CB52DB"/>
    <w:rsid w:val="00CB609E"/>
    <w:rsid w:val="00CB655E"/>
    <w:rsid w:val="00CD36C2"/>
    <w:rsid w:val="00CE2DD2"/>
    <w:rsid w:val="00CF37C5"/>
    <w:rsid w:val="00D034CA"/>
    <w:rsid w:val="00D06392"/>
    <w:rsid w:val="00D15EAF"/>
    <w:rsid w:val="00D27137"/>
    <w:rsid w:val="00D34B02"/>
    <w:rsid w:val="00D378DE"/>
    <w:rsid w:val="00D412F2"/>
    <w:rsid w:val="00D50F28"/>
    <w:rsid w:val="00D53072"/>
    <w:rsid w:val="00D62943"/>
    <w:rsid w:val="00D765B2"/>
    <w:rsid w:val="00D83684"/>
    <w:rsid w:val="00D8593A"/>
    <w:rsid w:val="00D864BB"/>
    <w:rsid w:val="00D92294"/>
    <w:rsid w:val="00D94306"/>
    <w:rsid w:val="00DA3003"/>
    <w:rsid w:val="00DA3B4D"/>
    <w:rsid w:val="00DB7266"/>
    <w:rsid w:val="00DC0EC3"/>
    <w:rsid w:val="00DC63B5"/>
    <w:rsid w:val="00DE3F10"/>
    <w:rsid w:val="00DE6D26"/>
    <w:rsid w:val="00E32811"/>
    <w:rsid w:val="00E507B4"/>
    <w:rsid w:val="00E56616"/>
    <w:rsid w:val="00E611EF"/>
    <w:rsid w:val="00E6262E"/>
    <w:rsid w:val="00E64A90"/>
    <w:rsid w:val="00E669B5"/>
    <w:rsid w:val="00E774DB"/>
    <w:rsid w:val="00E8135E"/>
    <w:rsid w:val="00EB2DD0"/>
    <w:rsid w:val="00EC2E8C"/>
    <w:rsid w:val="00EC51E6"/>
    <w:rsid w:val="00EC6DE5"/>
    <w:rsid w:val="00ED3681"/>
    <w:rsid w:val="00ED5141"/>
    <w:rsid w:val="00ED7C14"/>
    <w:rsid w:val="00EE0BE4"/>
    <w:rsid w:val="00EE3B27"/>
    <w:rsid w:val="00EE5278"/>
    <w:rsid w:val="00EE6D0A"/>
    <w:rsid w:val="00F010AC"/>
    <w:rsid w:val="00F026F1"/>
    <w:rsid w:val="00F07B81"/>
    <w:rsid w:val="00F301D3"/>
    <w:rsid w:val="00F4798B"/>
    <w:rsid w:val="00F614DA"/>
    <w:rsid w:val="00F65EB7"/>
    <w:rsid w:val="00F83127"/>
    <w:rsid w:val="00F8646E"/>
    <w:rsid w:val="00FC2147"/>
    <w:rsid w:val="00FD3EF4"/>
    <w:rsid w:val="00FE3ED7"/>
    <w:rsid w:val="04D00A0B"/>
    <w:rsid w:val="07E56283"/>
    <w:rsid w:val="08E62A08"/>
    <w:rsid w:val="0B6E25CA"/>
    <w:rsid w:val="0C373BAC"/>
    <w:rsid w:val="0D9D5D74"/>
    <w:rsid w:val="0EE23E95"/>
    <w:rsid w:val="11504B4F"/>
    <w:rsid w:val="16547093"/>
    <w:rsid w:val="1664725D"/>
    <w:rsid w:val="17A17696"/>
    <w:rsid w:val="17EC16BE"/>
    <w:rsid w:val="1838280A"/>
    <w:rsid w:val="1B9438AB"/>
    <w:rsid w:val="1BCF7E8C"/>
    <w:rsid w:val="1CD864CC"/>
    <w:rsid w:val="1D0471A1"/>
    <w:rsid w:val="1DBE6824"/>
    <w:rsid w:val="1F825234"/>
    <w:rsid w:val="1FC31052"/>
    <w:rsid w:val="20A9148A"/>
    <w:rsid w:val="21B630AA"/>
    <w:rsid w:val="21F6476D"/>
    <w:rsid w:val="22603A0D"/>
    <w:rsid w:val="22785F12"/>
    <w:rsid w:val="23330349"/>
    <w:rsid w:val="23A75161"/>
    <w:rsid w:val="24797980"/>
    <w:rsid w:val="24884DB2"/>
    <w:rsid w:val="274446B7"/>
    <w:rsid w:val="290B4FF1"/>
    <w:rsid w:val="2B5E1085"/>
    <w:rsid w:val="2F9B11EE"/>
    <w:rsid w:val="30F20E5C"/>
    <w:rsid w:val="316D1AE0"/>
    <w:rsid w:val="34B421E5"/>
    <w:rsid w:val="37A81138"/>
    <w:rsid w:val="39E647BE"/>
    <w:rsid w:val="3AC71A74"/>
    <w:rsid w:val="3D604405"/>
    <w:rsid w:val="3D7F5C6C"/>
    <w:rsid w:val="3F977CC3"/>
    <w:rsid w:val="41004BEF"/>
    <w:rsid w:val="42F73BE5"/>
    <w:rsid w:val="45F361F7"/>
    <w:rsid w:val="47787C78"/>
    <w:rsid w:val="4B002472"/>
    <w:rsid w:val="4C6F727C"/>
    <w:rsid w:val="50EF23E5"/>
    <w:rsid w:val="523913C0"/>
    <w:rsid w:val="54BA6645"/>
    <w:rsid w:val="54BB5E39"/>
    <w:rsid w:val="54C74E5B"/>
    <w:rsid w:val="54D02650"/>
    <w:rsid w:val="56947343"/>
    <w:rsid w:val="56EF1C4D"/>
    <w:rsid w:val="58332676"/>
    <w:rsid w:val="5A0934AE"/>
    <w:rsid w:val="5BF575A8"/>
    <w:rsid w:val="5C656233"/>
    <w:rsid w:val="5E0B411A"/>
    <w:rsid w:val="5ECE7587"/>
    <w:rsid w:val="5F0E5477"/>
    <w:rsid w:val="60427D6B"/>
    <w:rsid w:val="61F05CB7"/>
    <w:rsid w:val="624D42DC"/>
    <w:rsid w:val="63445F3C"/>
    <w:rsid w:val="645D3ECB"/>
    <w:rsid w:val="64902A68"/>
    <w:rsid w:val="6509486F"/>
    <w:rsid w:val="65C93574"/>
    <w:rsid w:val="662A4AA7"/>
    <w:rsid w:val="672742F2"/>
    <w:rsid w:val="67ED76B8"/>
    <w:rsid w:val="68440755"/>
    <w:rsid w:val="689E2222"/>
    <w:rsid w:val="6A2D3A43"/>
    <w:rsid w:val="6B703AD4"/>
    <w:rsid w:val="6D641893"/>
    <w:rsid w:val="6E032810"/>
    <w:rsid w:val="6E3A5C1C"/>
    <w:rsid w:val="6F5A1553"/>
    <w:rsid w:val="70A54CE9"/>
    <w:rsid w:val="72824D85"/>
    <w:rsid w:val="74264A68"/>
    <w:rsid w:val="756356EE"/>
    <w:rsid w:val="770E7207"/>
    <w:rsid w:val="7723780E"/>
    <w:rsid w:val="794D5E1F"/>
    <w:rsid w:val="7C5D4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9"/>
    <w:pPr>
      <w:keepNext/>
      <w:outlineLvl w:val="0"/>
    </w:pPr>
    <w:rPr>
      <w:rFonts w:ascii="宋体" w:hAnsi="Times New Roman" w:cs="宋体"/>
      <w:bCs/>
      <w:iCs/>
      <w:kern w:val="0"/>
      <w:sz w:val="32"/>
      <w:szCs w:val="32"/>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4"/>
    <w:basedOn w:val="1"/>
    <w:next w:val="1"/>
    <w:link w:val="33"/>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link w:val="25"/>
    <w:unhideWhenUsed/>
    <w:qFormat/>
    <w:uiPriority w:val="99"/>
    <w:pPr>
      <w:spacing w:after="120"/>
    </w:pPr>
  </w:style>
  <w:style w:type="paragraph" w:styleId="6">
    <w:name w:val="List 3"/>
    <w:basedOn w:val="7"/>
    <w:qFormat/>
    <w:uiPriority w:val="99"/>
    <w:pPr>
      <w:ind w:left="100" w:leftChars="400" w:hanging="200" w:hangingChars="200"/>
    </w:pPr>
    <w:rPr>
      <w:rFonts w:ascii="Times New Roman" w:hAnsi="Times New Roman"/>
    </w:rPr>
  </w:style>
  <w:style w:type="paragraph" w:customStyle="1" w:styleId="7">
    <w:name w:val="Normal_0"/>
    <w:qFormat/>
    <w:uiPriority w:val="0"/>
    <w:pPr>
      <w:widowControl w:val="0"/>
      <w:jc w:val="both"/>
    </w:pPr>
    <w:rPr>
      <w:rFonts w:ascii="Calibri" w:hAnsi="Calibri" w:eastAsia="仿宋_GB2312" w:cs="Times New Roman"/>
      <w:kern w:val="2"/>
      <w:sz w:val="28"/>
      <w:szCs w:val="24"/>
      <w:lang w:val="en-US" w:eastAsia="zh-CN" w:bidi="ar-SA"/>
    </w:rPr>
  </w:style>
  <w:style w:type="paragraph" w:styleId="8">
    <w:name w:val="Body Text Indent"/>
    <w:basedOn w:val="1"/>
    <w:unhideWhenUsed/>
    <w:qFormat/>
    <w:uiPriority w:val="99"/>
    <w:pPr>
      <w:tabs>
        <w:tab w:val="left" w:pos="0"/>
        <w:tab w:val="left" w:pos="993"/>
        <w:tab w:val="left" w:pos="1134"/>
      </w:tabs>
      <w:spacing w:line="500" w:lineRule="exact"/>
      <w:ind w:firstLine="567"/>
    </w:pPr>
    <w:rPr>
      <w:rFonts w:ascii="宋体"/>
      <w:sz w:val="28"/>
    </w:rPr>
  </w:style>
  <w:style w:type="paragraph" w:styleId="9">
    <w:name w:val="toc 3"/>
    <w:basedOn w:val="1"/>
    <w:next w:val="1"/>
    <w:unhideWhenUsed/>
    <w:qFormat/>
    <w:uiPriority w:val="39"/>
    <w:pPr>
      <w:tabs>
        <w:tab w:val="right" w:leader="dot" w:pos="9000"/>
      </w:tabs>
      <w:spacing w:line="360" w:lineRule="auto"/>
      <w:ind w:right="69" w:rightChars="33"/>
      <w:jc w:val="center"/>
    </w:pPr>
    <w:rPr>
      <w:rFonts w:ascii="宋体" w:hAnsi="宋体"/>
      <w:b/>
      <w:bCs/>
      <w:sz w:val="24"/>
    </w:rPr>
  </w:style>
  <w:style w:type="paragraph" w:styleId="10">
    <w:name w:val="Plain Text"/>
    <w:basedOn w:val="1"/>
    <w:unhideWhenUsed/>
    <w:qFormat/>
    <w:uiPriority w:val="0"/>
    <w:rPr>
      <w:rFonts w:ascii="宋体" w:hAnsi="Courier New" w:cs="楷体_GB2312"/>
      <w:szCs w:val="21"/>
    </w:rPr>
  </w:style>
  <w:style w:type="paragraph" w:styleId="11">
    <w:name w:val="Balloon Text"/>
    <w:basedOn w:val="1"/>
    <w:link w:val="30"/>
    <w:unhideWhenUsed/>
    <w:qFormat/>
    <w:uiPriority w:val="99"/>
    <w:rPr>
      <w:sz w:val="18"/>
      <w:szCs w:val="18"/>
    </w:rPr>
  </w:style>
  <w:style w:type="paragraph" w:styleId="12">
    <w:name w:val="footer"/>
    <w:basedOn w:val="1"/>
    <w:unhideWhenUsed/>
    <w:qFormat/>
    <w:uiPriority w:val="0"/>
    <w:pPr>
      <w:tabs>
        <w:tab w:val="center" w:pos="4153"/>
        <w:tab w:val="right" w:pos="8306"/>
      </w:tabs>
      <w:snapToGrid w:val="0"/>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qFormat/>
    <w:uiPriority w:val="11"/>
    <w:pPr>
      <w:widowControl/>
      <w:spacing w:before="240" w:after="60" w:line="312" w:lineRule="auto"/>
      <w:jc w:val="center"/>
      <w:outlineLvl w:val="1"/>
    </w:pPr>
    <w:rPr>
      <w:rFonts w:ascii="Cambria" w:hAnsi="Cambria"/>
      <w:b/>
      <w:bCs/>
      <w:kern w:val="28"/>
      <w:sz w:val="32"/>
      <w:szCs w:val="32"/>
    </w:rPr>
  </w:style>
  <w:style w:type="paragraph" w:styleId="16">
    <w:name w:val="toc 2"/>
    <w:basedOn w:val="1"/>
    <w:next w:val="1"/>
    <w:unhideWhenUsed/>
    <w:qFormat/>
    <w:uiPriority w:val="39"/>
    <w:pPr>
      <w:tabs>
        <w:tab w:val="left" w:pos="540"/>
        <w:tab w:val="right" w:leader="dot" w:pos="9061"/>
      </w:tabs>
      <w:spacing w:line="360" w:lineRule="auto"/>
      <w:jc w:val="center"/>
    </w:p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2"/>
    <w:basedOn w:val="8"/>
    <w:qFormat/>
    <w:uiPriority w:val="0"/>
    <w:pPr>
      <w:spacing w:after="120" w:line="240" w:lineRule="auto"/>
      <w:ind w:left="420" w:leftChars="200" w:firstLine="420" w:firstLineChars="200"/>
    </w:pPr>
    <w:rPr>
      <w:sz w:val="21"/>
    </w:rPr>
  </w:style>
  <w:style w:type="table" w:styleId="20">
    <w:name w:val="Table Grid"/>
    <w:basedOn w:val="1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Hyperlink"/>
    <w:unhideWhenUsed/>
    <w:qFormat/>
    <w:uiPriority w:val="99"/>
    <w:rPr>
      <w:color w:val="0000FF"/>
      <w:u w:val="single"/>
    </w:rPr>
  </w:style>
  <w:style w:type="character" w:customStyle="1" w:styleId="25">
    <w:name w:val="正文文本 Char"/>
    <w:link w:val="2"/>
    <w:semiHidden/>
    <w:qFormat/>
    <w:uiPriority w:val="99"/>
    <w:rPr>
      <w:kern w:val="2"/>
      <w:sz w:val="21"/>
    </w:rPr>
  </w:style>
  <w:style w:type="character" w:customStyle="1" w:styleId="26">
    <w:name w:val="标题 2 Char"/>
    <w:link w:val="4"/>
    <w:qFormat/>
    <w:uiPriority w:val="0"/>
    <w:rPr>
      <w:rFonts w:ascii="Arial" w:hAnsi="Arial" w:eastAsia="黑体"/>
      <w:b/>
      <w:bCs/>
      <w:sz w:val="32"/>
      <w:szCs w:val="32"/>
    </w:rPr>
  </w:style>
  <w:style w:type="character" w:customStyle="1" w:styleId="27">
    <w:name w:val="font01"/>
    <w:basedOn w:val="21"/>
    <w:qFormat/>
    <w:uiPriority w:val="0"/>
    <w:rPr>
      <w:rFonts w:hint="eastAsia" w:ascii="宋体" w:hAnsi="宋体" w:eastAsia="宋体" w:cs="宋体"/>
      <w:b/>
      <w:color w:val="000000"/>
      <w:sz w:val="32"/>
      <w:szCs w:val="32"/>
      <w:u w:val="none"/>
    </w:rPr>
  </w:style>
  <w:style w:type="character" w:customStyle="1" w:styleId="28">
    <w:name w:val="样式 宋体 四号 加粗 居中 行距: 1.5 倍行距 Char"/>
    <w:link w:val="29"/>
    <w:qFormat/>
    <w:uiPriority w:val="0"/>
    <w:rPr>
      <w:rFonts w:ascii="宋体" w:hAnsi="宋体" w:eastAsia="宋体" w:cs="宋体"/>
      <w:b/>
      <w:bCs/>
      <w:sz w:val="28"/>
      <w:szCs w:val="20"/>
    </w:rPr>
  </w:style>
  <w:style w:type="paragraph" w:customStyle="1" w:styleId="29">
    <w:name w:val="样式 宋体 四号 加粗 居中 行距: 1.5 倍行距"/>
    <w:basedOn w:val="4"/>
    <w:link w:val="28"/>
    <w:qFormat/>
    <w:uiPriority w:val="0"/>
    <w:pPr>
      <w:spacing w:before="0" w:after="0" w:line="360" w:lineRule="auto"/>
      <w:jc w:val="center"/>
    </w:pPr>
    <w:rPr>
      <w:rFonts w:ascii="宋体" w:hAnsi="宋体" w:eastAsia="宋体"/>
      <w:sz w:val="28"/>
      <w:szCs w:val="20"/>
    </w:rPr>
  </w:style>
  <w:style w:type="character" w:customStyle="1" w:styleId="30">
    <w:name w:val="批注框文本 Char"/>
    <w:basedOn w:val="21"/>
    <w:link w:val="11"/>
    <w:semiHidden/>
    <w:qFormat/>
    <w:uiPriority w:val="99"/>
    <w:rPr>
      <w:kern w:val="2"/>
      <w:sz w:val="18"/>
      <w:szCs w:val="18"/>
    </w:rPr>
  </w:style>
  <w:style w:type="character" w:customStyle="1" w:styleId="31">
    <w:name w:val="标题2 Char"/>
    <w:link w:val="32"/>
    <w:qFormat/>
    <w:uiPriority w:val="0"/>
    <w:rPr>
      <w:rFonts w:ascii="宋体" w:hAnsi="宋体" w:eastAsia="宋体" w:cs="宋体"/>
      <w:bCs/>
      <w:sz w:val="28"/>
      <w:szCs w:val="20"/>
    </w:rPr>
  </w:style>
  <w:style w:type="paragraph" w:customStyle="1" w:styleId="32">
    <w:name w:val="标题2"/>
    <w:basedOn w:val="29"/>
    <w:link w:val="31"/>
    <w:qFormat/>
    <w:uiPriority w:val="0"/>
    <w:rPr>
      <w:b w:val="0"/>
    </w:rPr>
  </w:style>
  <w:style w:type="character" w:customStyle="1" w:styleId="33">
    <w:name w:val="标题 4 Char"/>
    <w:basedOn w:val="21"/>
    <w:link w:val="5"/>
    <w:qFormat/>
    <w:uiPriority w:val="0"/>
    <w:rPr>
      <w:rFonts w:ascii="Cambria" w:hAnsi="Cambria" w:eastAsia="宋体" w:cs="Times New Roman"/>
      <w:b/>
      <w:bCs/>
      <w:kern w:val="2"/>
      <w:sz w:val="28"/>
      <w:szCs w:val="28"/>
    </w:rPr>
  </w:style>
  <w:style w:type="paragraph" w:customStyle="1" w:styleId="34">
    <w:name w:val="默认段落字体 Para Char"/>
    <w:basedOn w:val="1"/>
    <w:qFormat/>
    <w:uiPriority w:val="0"/>
    <w:rPr>
      <w:sz w:val="20"/>
      <w:szCs w:val="24"/>
    </w:rPr>
  </w:style>
  <w:style w:type="paragraph" w:styleId="35">
    <w:name w:val="List Paragraph"/>
    <w:basedOn w:val="1"/>
    <w:qFormat/>
    <w:uiPriority w:val="99"/>
    <w:pPr>
      <w:ind w:firstLine="420" w:firstLineChars="200"/>
    </w:pPr>
  </w:style>
  <w:style w:type="paragraph" w:customStyle="1" w:styleId="36">
    <w:name w:val="纯文本8"/>
    <w:basedOn w:val="1"/>
    <w:qFormat/>
    <w:uiPriority w:val="0"/>
    <w:pPr>
      <w:adjustRightInd w:val="0"/>
      <w:textAlignment w:val="baseline"/>
    </w:pPr>
    <w:rPr>
      <w:rFonts w:ascii="宋体" w:hAnsi="Courier New" w:eastAsia="楷体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21</Pages>
  <Words>6966</Words>
  <Characters>7231</Characters>
  <Lines>58</Lines>
  <Paragraphs>16</Paragraphs>
  <TotalTime>37</TotalTime>
  <ScaleCrop>false</ScaleCrop>
  <LinksUpToDate>false</LinksUpToDate>
  <CharactersWithSpaces>7676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2019-04-16T06:04:00Z</dcterms:created>
  <dc:creator>acer</dc:creator>
  <cp:lastModifiedBy>WPS_1542960939</cp:lastModifiedBy>
  <cp:lastPrinted>2019-10-15T05:54:00Z</cp:lastPrinted>
  <dcterms:modified xsi:type="dcterms:W3CDTF">2023-05-22T09:30:55Z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5DC875919B8B4C698FD4921E52797799_12</vt:lpwstr>
  </property>
</Properties>
</file>