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Times New Roman" w:hAnsi="方正公文仿宋" w:eastAsia="方正公文仿宋" w:cs="Times New Roman"/>
          <w:sz w:val="32"/>
          <w:szCs w:val="32"/>
          <w:lang w:val="en-US" w:eastAsia="zh-CN"/>
        </w:rPr>
      </w:pPr>
      <w:r>
        <w:rPr>
          <w:rFonts w:hint="eastAsia" w:ascii="Times New Roman" w:hAnsi="方正公文仿宋" w:eastAsia="方正公文仿宋" w:cs="Times New Roman"/>
          <w:sz w:val="32"/>
          <w:szCs w:val="32"/>
          <w:lang w:val="en-US" w:eastAsia="zh-CN"/>
        </w:rPr>
        <w:t>附件1</w:t>
      </w:r>
    </w:p>
    <w:p>
      <w:pPr>
        <w:spacing w:line="590" w:lineRule="exact"/>
        <w:jc w:val="center"/>
        <w:rPr>
          <w:rFonts w:ascii="Times New Roman" w:hAnsi="Times New Roman" w:eastAsia="方正公文小标宋" w:cs="Times New Roman"/>
          <w:sz w:val="44"/>
          <w:szCs w:val="44"/>
        </w:rPr>
      </w:pPr>
      <w:bookmarkStart w:id="0" w:name="_GoBack"/>
      <w:r>
        <w:rPr>
          <w:rFonts w:ascii="Times New Roman" w:hAnsi="方正公文小标宋" w:eastAsia="方正公文小标宋" w:cs="Times New Roman"/>
          <w:sz w:val="44"/>
          <w:szCs w:val="44"/>
        </w:rPr>
        <w:t>溧水区</w:t>
      </w:r>
      <w:r>
        <w:rPr>
          <w:rFonts w:ascii="Times New Roman" w:hAnsi="Times New Roman" w:eastAsia="方正公文小标宋" w:cs="Times New Roman"/>
          <w:sz w:val="44"/>
          <w:szCs w:val="44"/>
        </w:rPr>
        <w:t>2023</w:t>
      </w:r>
      <w:r>
        <w:rPr>
          <w:rFonts w:ascii="Times New Roman" w:hAnsi="方正公文小标宋" w:eastAsia="方正公文小标宋" w:cs="Times New Roman"/>
          <w:sz w:val="44"/>
          <w:szCs w:val="44"/>
        </w:rPr>
        <w:t>年市级农业专项</w:t>
      </w:r>
      <w:r>
        <w:rPr>
          <w:rFonts w:ascii="Times New Roman" w:hAnsi="Times New Roman" w:eastAsia="方正公文小标宋" w:cs="Times New Roman"/>
          <w:sz w:val="44"/>
          <w:szCs w:val="44"/>
        </w:rPr>
        <w:t>——</w:t>
      </w:r>
    </w:p>
    <w:p>
      <w:pPr>
        <w:spacing w:line="590" w:lineRule="exact"/>
        <w:jc w:val="center"/>
        <w:rPr>
          <w:rFonts w:ascii="Times New Roman" w:hAnsi="Times New Roman" w:eastAsia="方正公文小标宋" w:cs="Times New Roman"/>
          <w:sz w:val="44"/>
          <w:szCs w:val="44"/>
        </w:rPr>
      </w:pPr>
      <w:r>
        <w:rPr>
          <w:rFonts w:ascii="Times New Roman" w:hAnsi="方正公文小标宋" w:eastAsia="方正公文小标宋" w:cs="Times New Roman"/>
          <w:sz w:val="44"/>
          <w:szCs w:val="44"/>
        </w:rPr>
        <w:t>农产品仓储保鲜冷链物流项目申报指南</w:t>
      </w:r>
    </w:p>
    <w:bookmarkEnd w:id="0"/>
    <w:p>
      <w:pPr>
        <w:spacing w:line="59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公文仿宋" w:cs="Times New Roman"/>
          <w:sz w:val="32"/>
          <w:szCs w:val="32"/>
        </w:rPr>
      </w:pPr>
      <w:r>
        <w:rPr>
          <w:rFonts w:ascii="Times New Roman" w:hAnsi="方正公文仿宋" w:eastAsia="方正公文仿宋" w:cs="Times New Roman"/>
          <w:sz w:val="32"/>
          <w:szCs w:val="32"/>
        </w:rPr>
        <w:t>根据市农业农村局《关于印发</w:t>
      </w:r>
      <w:r>
        <w:rPr>
          <w:rFonts w:ascii="Times New Roman" w:hAnsi="Times New Roman" w:eastAsia="方正公文仿宋" w:cs="Times New Roman"/>
          <w:sz w:val="32"/>
          <w:szCs w:val="32"/>
        </w:rPr>
        <w:t>&lt;2023</w:t>
      </w:r>
      <w:r>
        <w:rPr>
          <w:rFonts w:ascii="Times New Roman" w:hAnsi="方正公文仿宋" w:eastAsia="方正公文仿宋" w:cs="Times New Roman"/>
          <w:sz w:val="32"/>
          <w:szCs w:val="32"/>
        </w:rPr>
        <w:t>年南京市农产品仓储保鲜冷链物流建设项目指导方案</w:t>
      </w:r>
      <w:r>
        <w:rPr>
          <w:rFonts w:ascii="Times New Roman" w:hAnsi="Times New Roman" w:eastAsia="方正公文仿宋" w:cs="Times New Roman"/>
          <w:sz w:val="32"/>
          <w:szCs w:val="32"/>
        </w:rPr>
        <w:t>&gt;</w:t>
      </w:r>
      <w:r>
        <w:rPr>
          <w:rFonts w:ascii="Times New Roman" w:hAnsi="方正公文仿宋" w:eastAsia="方正公文仿宋" w:cs="Times New Roman"/>
          <w:sz w:val="32"/>
          <w:szCs w:val="32"/>
        </w:rPr>
        <w:t>的通知》（宁农市〔</w:t>
      </w:r>
      <w:r>
        <w:rPr>
          <w:rFonts w:ascii="Times New Roman" w:hAnsi="Times New Roman" w:eastAsia="方正公文仿宋" w:cs="Times New Roman"/>
          <w:sz w:val="32"/>
          <w:szCs w:val="32"/>
        </w:rPr>
        <w:t>2023</w:t>
      </w:r>
      <w:r>
        <w:rPr>
          <w:rFonts w:ascii="Times New Roman" w:hAnsi="方正公文仿宋" w:eastAsia="方正公文仿宋" w:cs="Times New Roman"/>
          <w:sz w:val="32"/>
          <w:szCs w:val="32"/>
        </w:rPr>
        <w:t>〕</w:t>
      </w:r>
      <w:r>
        <w:rPr>
          <w:rFonts w:ascii="Times New Roman" w:hAnsi="Times New Roman" w:eastAsia="方正公文仿宋" w:cs="Times New Roman"/>
          <w:sz w:val="32"/>
          <w:szCs w:val="32"/>
        </w:rPr>
        <w:t>5</w:t>
      </w:r>
      <w:r>
        <w:rPr>
          <w:rFonts w:ascii="Times New Roman" w:hAnsi="方正公文仿宋" w:eastAsia="方正公文仿宋" w:cs="Times New Roman"/>
          <w:sz w:val="32"/>
          <w:szCs w:val="32"/>
        </w:rPr>
        <w:t>号）有关要求，为做好我区</w:t>
      </w:r>
      <w:r>
        <w:rPr>
          <w:rFonts w:ascii="Times New Roman" w:hAnsi="Times New Roman" w:eastAsia="方正公文仿宋" w:cs="Times New Roman"/>
          <w:sz w:val="32"/>
          <w:szCs w:val="32"/>
        </w:rPr>
        <w:t>2023</w:t>
      </w:r>
      <w:r>
        <w:rPr>
          <w:rFonts w:ascii="Times New Roman" w:hAnsi="方正公文仿宋" w:eastAsia="方正公文仿宋" w:cs="Times New Roman"/>
          <w:sz w:val="32"/>
          <w:szCs w:val="32"/>
        </w:rPr>
        <w:t>年农产品产地冷藏保鲜项目，特制定溧水区</w:t>
      </w:r>
      <w:r>
        <w:rPr>
          <w:rFonts w:ascii="Times New Roman" w:hAnsi="Times New Roman" w:eastAsia="方正公文仿宋" w:cs="Times New Roman"/>
          <w:sz w:val="32"/>
          <w:szCs w:val="32"/>
        </w:rPr>
        <w:t>2023</w:t>
      </w:r>
      <w:r>
        <w:rPr>
          <w:rFonts w:ascii="Times New Roman" w:hAnsi="方正公文仿宋" w:eastAsia="方正公文仿宋" w:cs="Times New Roman"/>
          <w:sz w:val="32"/>
          <w:szCs w:val="32"/>
        </w:rPr>
        <w:t>年市级农产品仓储保鲜冷链物流项目申报指南。</w:t>
      </w:r>
    </w:p>
    <w:p>
      <w:pPr>
        <w:spacing w:line="590" w:lineRule="exact"/>
        <w:ind w:firstLine="640" w:firstLineChars="200"/>
        <w:rPr>
          <w:rFonts w:ascii="Times New Roman" w:hAnsi="Times New Roman" w:eastAsia="方正公文黑体" w:cs="Times New Roman"/>
          <w:sz w:val="32"/>
          <w:szCs w:val="32"/>
        </w:rPr>
      </w:pPr>
      <w:r>
        <w:rPr>
          <w:rFonts w:ascii="Times New Roman" w:hAnsi="方正公文黑体" w:eastAsia="方正公文黑体" w:cs="Times New Roman"/>
          <w:sz w:val="32"/>
          <w:szCs w:val="32"/>
        </w:rPr>
        <w:t>一、建设内容</w:t>
      </w:r>
    </w:p>
    <w:p>
      <w:pPr>
        <w:spacing w:line="590" w:lineRule="exact"/>
        <w:ind w:firstLine="640" w:firstLineChars="200"/>
        <w:rPr>
          <w:rFonts w:ascii="Times New Roman" w:hAnsi="Times New Roman" w:eastAsia="方正公文仿宋" w:cs="Times New Roman"/>
          <w:sz w:val="32"/>
          <w:szCs w:val="32"/>
        </w:rPr>
      </w:pPr>
      <w:r>
        <w:rPr>
          <w:rFonts w:ascii="Times New Roman" w:hAnsi="Times New Roman" w:eastAsia="方正公文仿宋" w:cs="Times New Roman"/>
          <w:sz w:val="32"/>
          <w:szCs w:val="32"/>
        </w:rPr>
        <w:t>1</w:t>
      </w:r>
      <w:r>
        <w:rPr>
          <w:rFonts w:ascii="Times New Roman" w:hAnsi="方正公文仿宋" w:eastAsia="方正公文仿宋" w:cs="Times New Roman"/>
          <w:sz w:val="32"/>
          <w:szCs w:val="32"/>
        </w:rPr>
        <w:t>、机械冷库。根据农产品贮藏规模、自然气候和地质条件等，采用土建式或组装式建筑结构，配备机械制冷设备，新建保温隔热性能良好、低温环境适宜的冷库和果蔬速冻库；也可对闲置的房屋、厂房等进行保温隔热改造，安装制冷设备，改建为机械冷库。</w:t>
      </w:r>
    </w:p>
    <w:p>
      <w:pPr>
        <w:spacing w:line="590" w:lineRule="exact"/>
        <w:ind w:firstLine="640" w:firstLineChars="200"/>
        <w:rPr>
          <w:rFonts w:ascii="Times New Roman" w:hAnsi="Times New Roman" w:eastAsia="方正公文仿宋" w:cs="Times New Roman"/>
          <w:sz w:val="32"/>
          <w:szCs w:val="32"/>
        </w:rPr>
      </w:pPr>
      <w:r>
        <w:rPr>
          <w:rFonts w:ascii="Times New Roman" w:hAnsi="Times New Roman" w:eastAsia="方正公文仿宋" w:cs="Times New Roman"/>
          <w:sz w:val="32"/>
          <w:szCs w:val="32"/>
        </w:rPr>
        <w:t>2</w:t>
      </w:r>
      <w:r>
        <w:rPr>
          <w:rFonts w:ascii="Times New Roman" w:hAnsi="方正公文仿宋" w:eastAsia="方正公文仿宋" w:cs="Times New Roman"/>
          <w:sz w:val="32"/>
          <w:szCs w:val="32"/>
        </w:rPr>
        <w:t>、气调贮藏库。在草莓、桃、梨等呼吸跃变型农产品产地，建设气密性较高、可调节气体浓度和组分的气调贮藏库，配备有关专用气调设备，对商品附加值较高的产品进行气调贮藏。</w:t>
      </w:r>
    </w:p>
    <w:p>
      <w:pPr>
        <w:spacing w:line="590" w:lineRule="exact"/>
        <w:ind w:firstLine="640" w:firstLineChars="200"/>
        <w:rPr>
          <w:rFonts w:ascii="Times New Roman" w:hAnsi="Times New Roman" w:eastAsia="方正公文仿宋" w:cs="Times New Roman"/>
          <w:sz w:val="32"/>
          <w:szCs w:val="32"/>
        </w:rPr>
      </w:pPr>
      <w:r>
        <w:rPr>
          <w:rFonts w:ascii="Times New Roman" w:hAnsi="Times New Roman" w:eastAsia="方正公文仿宋" w:cs="Times New Roman"/>
          <w:sz w:val="32"/>
          <w:szCs w:val="32"/>
        </w:rPr>
        <w:t>3</w:t>
      </w:r>
      <w:r>
        <w:rPr>
          <w:rFonts w:ascii="Times New Roman" w:hAnsi="方正公文仿宋" w:eastAsia="方正公文仿宋" w:cs="Times New Roman"/>
          <w:sz w:val="32"/>
          <w:szCs w:val="32"/>
        </w:rPr>
        <w:t>、通风贮藏库。充分利用自然资源，因地制宜建设地下、半地下贮藏窖或地上通风贮藏库，采用自然通风和机械通风相结合的方式保持适宜贮藏温度。</w:t>
      </w:r>
    </w:p>
    <w:p>
      <w:pPr>
        <w:spacing w:line="590" w:lineRule="exact"/>
        <w:ind w:firstLine="640" w:firstLineChars="200"/>
        <w:rPr>
          <w:rFonts w:ascii="Times New Roman" w:hAnsi="Times New Roman" w:eastAsia="方正公文仿宋" w:cs="Times New Roman"/>
          <w:sz w:val="32"/>
          <w:szCs w:val="32"/>
        </w:rPr>
      </w:pPr>
      <w:r>
        <w:rPr>
          <w:rFonts w:ascii="Times New Roman" w:hAnsi="Times New Roman" w:eastAsia="方正公文仿宋" w:cs="Times New Roman"/>
          <w:sz w:val="32"/>
          <w:szCs w:val="32"/>
        </w:rPr>
        <w:t>4</w:t>
      </w:r>
      <w:r>
        <w:rPr>
          <w:rFonts w:ascii="Times New Roman" w:hAnsi="方正公文仿宋" w:eastAsia="方正公文仿宋" w:cs="Times New Roman"/>
          <w:sz w:val="32"/>
          <w:szCs w:val="32"/>
        </w:rPr>
        <w:t>、预冷及其他配套设施。根据产品特性、市场发展和储运加工的实际需要，可配套建设预冷设施和冷藏车。</w:t>
      </w:r>
    </w:p>
    <w:p>
      <w:pPr>
        <w:spacing w:line="590" w:lineRule="exact"/>
        <w:ind w:firstLine="640" w:firstLineChars="200"/>
        <w:rPr>
          <w:rFonts w:ascii="Times New Roman" w:hAnsi="Times New Roman" w:eastAsia="方正公文黑体" w:cs="Times New Roman"/>
          <w:sz w:val="32"/>
          <w:szCs w:val="32"/>
        </w:rPr>
      </w:pPr>
      <w:r>
        <w:rPr>
          <w:rFonts w:ascii="Times New Roman" w:hAnsi="方正公文黑体" w:eastAsia="方正公文黑体" w:cs="Times New Roman"/>
          <w:sz w:val="32"/>
          <w:szCs w:val="32"/>
        </w:rPr>
        <w:t>二、建设主体</w:t>
      </w:r>
    </w:p>
    <w:p>
      <w:pPr>
        <w:spacing w:line="590" w:lineRule="exact"/>
        <w:ind w:firstLine="640" w:firstLineChars="200"/>
        <w:rPr>
          <w:rFonts w:ascii="Times New Roman" w:hAnsi="Times New Roman" w:eastAsia="方正公文仿宋" w:cs="Times New Roman"/>
          <w:sz w:val="32"/>
          <w:szCs w:val="32"/>
        </w:rPr>
      </w:pPr>
      <w:r>
        <w:rPr>
          <w:rFonts w:ascii="Times New Roman" w:hAnsi="方正公文仿宋" w:eastAsia="方正公文仿宋" w:cs="Times New Roman"/>
          <w:sz w:val="32"/>
          <w:szCs w:val="32"/>
        </w:rPr>
        <w:t>申报主体应为家庭农场、农民专业合作社、农业企业、农产品区域公用品牌运营方和农村集体经济组织等主体。</w:t>
      </w:r>
    </w:p>
    <w:p>
      <w:pPr>
        <w:spacing w:line="590" w:lineRule="exact"/>
        <w:ind w:firstLine="640" w:firstLineChars="200"/>
        <w:rPr>
          <w:rFonts w:ascii="Times New Roman" w:hAnsi="Times New Roman" w:eastAsia="方正公文黑体" w:cs="Times New Roman"/>
          <w:sz w:val="32"/>
          <w:szCs w:val="32"/>
        </w:rPr>
      </w:pPr>
      <w:r>
        <w:rPr>
          <w:rFonts w:ascii="Times New Roman" w:hAnsi="方正公文黑体" w:eastAsia="方正公文黑体" w:cs="Times New Roman"/>
          <w:sz w:val="32"/>
          <w:szCs w:val="32"/>
        </w:rPr>
        <w:t>三、补助标准</w:t>
      </w:r>
    </w:p>
    <w:p>
      <w:pPr>
        <w:spacing w:line="590" w:lineRule="exact"/>
        <w:ind w:firstLine="640" w:firstLineChars="200"/>
        <w:rPr>
          <w:rFonts w:ascii="Times New Roman" w:hAnsi="Times New Roman" w:eastAsia="方正公文仿宋" w:cs="Times New Roman"/>
          <w:sz w:val="32"/>
          <w:szCs w:val="32"/>
        </w:rPr>
      </w:pPr>
      <w:r>
        <w:rPr>
          <w:rFonts w:ascii="Times New Roman" w:hAnsi="方正公文仿宋" w:eastAsia="方正公文仿宋" w:cs="Times New Roman"/>
          <w:sz w:val="32"/>
          <w:szCs w:val="32"/>
        </w:rPr>
        <w:t>按照项目建设总投资额先建后补，财政补助资金不超过建设设施总造价的</w:t>
      </w:r>
      <w:r>
        <w:rPr>
          <w:rFonts w:ascii="Times New Roman" w:hAnsi="Times New Roman" w:eastAsia="方正公文仿宋" w:cs="Times New Roman"/>
          <w:sz w:val="32"/>
          <w:szCs w:val="32"/>
        </w:rPr>
        <w:t>50%</w:t>
      </w:r>
      <w:r>
        <w:rPr>
          <w:rFonts w:ascii="Times New Roman" w:hAnsi="方正公文仿宋" w:eastAsia="方正公文仿宋" w:cs="Times New Roman"/>
          <w:sz w:val="32"/>
          <w:szCs w:val="32"/>
        </w:rPr>
        <w:t>；单个项目补助资金不超过</w:t>
      </w:r>
      <w:r>
        <w:rPr>
          <w:rFonts w:ascii="Times New Roman" w:hAnsi="Times New Roman" w:eastAsia="方正公文仿宋" w:cs="Times New Roman"/>
          <w:sz w:val="32"/>
          <w:szCs w:val="32"/>
        </w:rPr>
        <w:t>30</w:t>
      </w:r>
      <w:r>
        <w:rPr>
          <w:rFonts w:ascii="Times New Roman" w:hAnsi="方正公文仿宋" w:eastAsia="方正公文仿宋" w:cs="Times New Roman"/>
          <w:sz w:val="32"/>
          <w:szCs w:val="32"/>
        </w:rPr>
        <w:t>万元；冷藏车采购资金不超过项目总价的</w:t>
      </w:r>
      <w:r>
        <w:rPr>
          <w:rFonts w:ascii="Times New Roman" w:hAnsi="Times New Roman" w:eastAsia="方正公文仿宋" w:cs="Times New Roman"/>
          <w:sz w:val="32"/>
          <w:szCs w:val="32"/>
        </w:rPr>
        <w:t>30%</w:t>
      </w:r>
      <w:r>
        <w:rPr>
          <w:rFonts w:ascii="Times New Roman" w:hAnsi="方正公文仿宋" w:eastAsia="方正公文仿宋" w:cs="Times New Roman"/>
          <w:sz w:val="32"/>
          <w:szCs w:val="32"/>
        </w:rPr>
        <w:t>。</w:t>
      </w:r>
    </w:p>
    <w:p>
      <w:pPr>
        <w:spacing w:line="590" w:lineRule="exact"/>
        <w:ind w:firstLine="640" w:firstLineChars="200"/>
        <w:rPr>
          <w:rFonts w:ascii="Times New Roman" w:hAnsi="Times New Roman" w:eastAsia="方正公文黑体" w:cs="Times New Roman"/>
          <w:sz w:val="32"/>
          <w:szCs w:val="32"/>
        </w:rPr>
      </w:pPr>
      <w:r>
        <w:rPr>
          <w:rFonts w:ascii="Times New Roman" w:hAnsi="方正公文黑体" w:eastAsia="方正公文黑体" w:cs="Times New Roman"/>
          <w:sz w:val="32"/>
          <w:szCs w:val="32"/>
        </w:rPr>
        <w:t>四、建设要求</w:t>
      </w:r>
    </w:p>
    <w:p>
      <w:pPr>
        <w:spacing w:line="590" w:lineRule="exact"/>
        <w:ind w:firstLine="640" w:firstLineChars="200"/>
        <w:rPr>
          <w:rFonts w:ascii="Times New Roman" w:hAnsi="Times New Roman" w:eastAsia="方正公文仿宋" w:cs="Times New Roman"/>
          <w:sz w:val="32"/>
          <w:szCs w:val="32"/>
        </w:rPr>
      </w:pPr>
      <w:r>
        <w:rPr>
          <w:rFonts w:ascii="Times New Roman" w:hAnsi="Times New Roman" w:eastAsia="方正公文仿宋" w:cs="Times New Roman"/>
          <w:sz w:val="32"/>
          <w:szCs w:val="32"/>
        </w:rPr>
        <w:t>1.</w:t>
      </w:r>
      <w:r>
        <w:rPr>
          <w:rFonts w:ascii="Times New Roman" w:hAnsi="方正公文仿宋" w:eastAsia="方正公文仿宋" w:cs="Times New Roman"/>
          <w:sz w:val="32"/>
          <w:szCs w:val="32"/>
        </w:rPr>
        <w:t>重点围绕粮油、蔬菜、水果、水产品等鲜活农产品，兼顾地方优势特色品种，根据农民自愿自建需求，择优选择农业基础好、积极性高、建设地点用地手续齐全的申报主体，合理集中建设产地冷藏保鲜设施，畅通鲜活农产品末端冷链微循环，为服务乡村产业、提高农民收入、增强市场稳定性、保障农产品有效供给提供有力支撑。</w:t>
      </w:r>
    </w:p>
    <w:p>
      <w:pPr>
        <w:spacing w:line="590" w:lineRule="exact"/>
        <w:ind w:firstLine="640" w:firstLineChars="200"/>
        <w:rPr>
          <w:rFonts w:ascii="Times New Roman" w:hAnsi="Times New Roman" w:eastAsia="方正公文仿宋" w:cs="Times New Roman"/>
          <w:sz w:val="32"/>
          <w:szCs w:val="32"/>
        </w:rPr>
      </w:pPr>
      <w:r>
        <w:rPr>
          <w:rFonts w:ascii="Times New Roman" w:hAnsi="Times New Roman" w:eastAsia="方正公文仿宋" w:cs="Times New Roman"/>
          <w:sz w:val="32"/>
          <w:szCs w:val="32"/>
        </w:rPr>
        <w:t>2.</w:t>
      </w:r>
      <w:r>
        <w:rPr>
          <w:rFonts w:ascii="Times New Roman" w:hAnsi="方正公文仿宋" w:eastAsia="方正公文仿宋" w:cs="Times New Roman"/>
          <w:sz w:val="32"/>
          <w:szCs w:val="32"/>
        </w:rPr>
        <w:t>严重失信或存在未整改重大安全生产隐患的主体不得承担项目；申报建设内容不得与中央、省、市、区农业等其他项目建设内容重复；项目建设用地手续必须合法合规。</w:t>
      </w:r>
    </w:p>
    <w:p>
      <w:pPr>
        <w:widowControl w:val="0"/>
        <w:ind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/>
    <w:sectPr>
      <w:footerReference r:id="rId3" w:type="default"/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NjI2ODIzNmM1MmE1ODNjY2Y5OWFiNzQyMDQwMzIifQ=="/>
  </w:docVars>
  <w:rsids>
    <w:rsidRoot w:val="392E21B2"/>
    <w:rsid w:val="392E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paragraph" w:styleId="3">
    <w:name w:val="index 6"/>
    <w:basedOn w:val="1"/>
    <w:next w:val="1"/>
    <w:qFormat/>
    <w:uiPriority w:val="0"/>
    <w:pPr>
      <w:ind w:left="1000" w:leftChars="10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2023-10-11T03:05:00Z</dcterms:created>
  <dc:creator>11920896</dc:creator>
  <cp:lastModifiedBy>11920896</cp:lastModifiedBy>
  <dcterms:modified xsi:type="dcterms:W3CDTF">2023-10-11T03:07:10Z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6256746AE22E4B78A50F9B67B0A4F30B_11</vt:lpwstr>
  </property>
</Properties>
</file>