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Times New Roman" w:hAnsi="Times New Roman" w:eastAsia="方正公文小标宋" w:cs="Times New Roman"/>
          <w:sz w:val="44"/>
          <w:szCs w:val="44"/>
        </w:rPr>
      </w:pPr>
    </w:p>
    <w:p>
      <w:pPr>
        <w:spacing w:line="590" w:lineRule="exact"/>
        <w:jc w:val="center"/>
        <w:rPr>
          <w:rFonts w:ascii="Times New Roman" w:hAnsi="Times New Roman" w:eastAsia="方正公文小标宋" w:cs="Times New Roman"/>
          <w:sz w:val="44"/>
          <w:szCs w:val="44"/>
        </w:rPr>
      </w:pPr>
    </w:p>
    <w:p>
      <w:pPr>
        <w:spacing w:line="590" w:lineRule="exact"/>
        <w:jc w:val="center"/>
        <w:rPr>
          <w:rFonts w:ascii="Times New Roman" w:hAnsi="Times New Roman" w:eastAsia="方正公文小标宋" w:cs="Times New Roman"/>
          <w:sz w:val="44"/>
          <w:szCs w:val="44"/>
        </w:rPr>
      </w:pPr>
    </w:p>
    <w:p>
      <w:pPr>
        <w:spacing w:line="660" w:lineRule="exact"/>
        <w:jc w:val="center"/>
        <w:rPr>
          <w:rFonts w:ascii="Times New Roman" w:hAnsi="Times New Roman" w:eastAsia="方正公文小标宋" w:cs="Times New Roman"/>
          <w:sz w:val="44"/>
          <w:szCs w:val="44"/>
        </w:rPr>
      </w:pPr>
      <w:r>
        <w:rPr>
          <w:rFonts w:hint="eastAsia" w:ascii="Times New Roman" w:hAnsi="Times New Roman" w:eastAsia="方正公文小标宋" w:cs="Times New Roman"/>
          <w:sz w:val="44"/>
          <w:szCs w:val="44"/>
        </w:rPr>
        <w:t>2022-2023年种植业类第二批结余资金</w:t>
      </w:r>
    </w:p>
    <w:p>
      <w:pPr>
        <w:spacing w:line="660" w:lineRule="exact"/>
        <w:jc w:val="center"/>
        <w:rPr>
          <w:rFonts w:ascii="Times New Roman" w:hAnsi="Times New Roman" w:eastAsia="方正公文小标宋" w:cs="Times New Roman"/>
          <w:sz w:val="44"/>
          <w:szCs w:val="44"/>
        </w:rPr>
      </w:pPr>
      <w:r>
        <w:rPr>
          <w:rFonts w:hint="eastAsia" w:ascii="Times New Roman" w:hAnsi="Times New Roman" w:eastAsia="方正公文小标宋" w:cs="Times New Roman"/>
          <w:sz w:val="44"/>
          <w:szCs w:val="44"/>
        </w:rPr>
        <w:t>项目申报指南</w:t>
      </w:r>
    </w:p>
    <w:p>
      <w:pPr>
        <w:adjustRightInd w:val="0"/>
        <w:snapToGrid w:val="0"/>
        <w:spacing w:line="550" w:lineRule="exact"/>
        <w:ind w:firstLine="640" w:firstLineChars="200"/>
        <w:rPr>
          <w:rFonts w:ascii="Times New Roman" w:hAnsi="Times New Roman" w:eastAsia="仿宋_GB2312" w:cs="Times New Roman"/>
          <w:sz w:val="32"/>
          <w:szCs w:val="32"/>
        </w:rPr>
      </w:pPr>
    </w:p>
    <w:p>
      <w:pPr>
        <w:adjustRightInd w:val="0"/>
        <w:snapToGrid w:val="0"/>
        <w:spacing w:line="590" w:lineRule="exact"/>
        <w:ind w:firstLine="680" w:firstLineChars="200"/>
        <w:rPr>
          <w:rFonts w:ascii="Times New Roman" w:hAnsi="Times New Roman" w:eastAsia="方正公文黑体" w:cs="Times New Roman"/>
          <w:spacing w:val="10"/>
          <w:sz w:val="32"/>
          <w:szCs w:val="32"/>
        </w:rPr>
      </w:pPr>
      <w:r>
        <w:rPr>
          <w:rFonts w:hint="eastAsia" w:ascii="Times New Roman" w:hAnsi="Times New Roman" w:eastAsia="方正公文黑体" w:cs="Times New Roman"/>
          <w:spacing w:val="10"/>
          <w:sz w:val="32"/>
          <w:szCs w:val="32"/>
        </w:rPr>
        <w:t>一</w:t>
      </w:r>
      <w:r>
        <w:rPr>
          <w:rFonts w:ascii="Times New Roman" w:hAnsi="Times New Roman" w:eastAsia="方正公文黑体" w:cs="Times New Roman"/>
          <w:spacing w:val="10"/>
          <w:sz w:val="32"/>
          <w:szCs w:val="32"/>
        </w:rPr>
        <w:t>、</w:t>
      </w:r>
      <w:r>
        <w:rPr>
          <w:rFonts w:hint="eastAsia" w:ascii="Times New Roman" w:hAnsi="Times New Roman" w:eastAsia="方正公文黑体" w:cs="Times New Roman"/>
          <w:spacing w:val="10"/>
          <w:sz w:val="32"/>
          <w:szCs w:val="32"/>
        </w:rPr>
        <w:t>支持环节</w:t>
      </w:r>
    </w:p>
    <w:p>
      <w:pPr>
        <w:spacing w:line="590" w:lineRule="exact"/>
        <w:ind w:firstLine="680" w:firstLineChars="200"/>
        <w:rPr>
          <w:rFonts w:ascii="Times New Roman" w:hAnsi="Times New Roman" w:eastAsia="方正公文楷体" w:cs="Times New Roman"/>
          <w:bCs/>
          <w:spacing w:val="10"/>
          <w:sz w:val="32"/>
          <w:szCs w:val="32"/>
        </w:rPr>
      </w:pPr>
      <w:r>
        <w:rPr>
          <w:rFonts w:ascii="Times New Roman" w:hAnsi="Times New Roman" w:eastAsia="方正公文楷体" w:cs="Times New Roman"/>
          <w:bCs/>
          <w:spacing w:val="10"/>
          <w:sz w:val="32"/>
          <w:szCs w:val="32"/>
        </w:rPr>
        <w:t>（一）支持主体</w:t>
      </w:r>
    </w:p>
    <w:p>
      <w:pPr>
        <w:spacing w:line="590" w:lineRule="exact"/>
        <w:ind w:firstLine="680" w:firstLineChars="200"/>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spacing w:val="10"/>
          <w:kern w:val="0"/>
          <w:sz w:val="32"/>
          <w:szCs w:val="32"/>
        </w:rPr>
        <w:t>本区社区（村委会）、国营林场、国营茶场、农业专业合作社、</w:t>
      </w:r>
      <w:r>
        <w:rPr>
          <w:rFonts w:ascii="Times New Roman" w:hAnsi="Times New Roman" w:eastAsia="方正公文仿宋" w:cs="Times New Roman"/>
          <w:spacing w:val="10"/>
          <w:kern w:val="0"/>
          <w:sz w:val="32"/>
          <w:szCs w:val="32"/>
        </w:rPr>
        <w:t>家庭农场、大户、从事农业生产的企业等。其中</w:t>
      </w:r>
      <w:r>
        <w:rPr>
          <w:rFonts w:hint="eastAsia" w:ascii="Times New Roman" w:hAnsi="Times New Roman" w:eastAsia="方正公文仿宋" w:cs="Times New Roman"/>
          <w:bCs/>
          <w:spacing w:val="10"/>
          <w:sz w:val="32"/>
          <w:szCs w:val="32"/>
        </w:rPr>
        <w:t>标准化菜地项目支持主体为镇（街）政府</w:t>
      </w:r>
      <w:r>
        <w:rPr>
          <w:rFonts w:hint="eastAsia" w:ascii="Times New Roman" w:hAnsi="Times New Roman" w:eastAsia="方正公文仿宋" w:cs="Times New Roman"/>
          <w:spacing w:val="10"/>
          <w:kern w:val="0"/>
          <w:sz w:val="32"/>
          <w:szCs w:val="32"/>
        </w:rPr>
        <w:t>、</w:t>
      </w:r>
      <w:r>
        <w:rPr>
          <w:rFonts w:ascii="Times New Roman" w:hAnsi="Times New Roman" w:eastAsia="方正公文仿宋" w:cs="Times New Roman"/>
          <w:spacing w:val="10"/>
          <w:kern w:val="0"/>
          <w:sz w:val="32"/>
          <w:szCs w:val="32"/>
        </w:rPr>
        <w:t>社区（村委会）。</w:t>
      </w:r>
    </w:p>
    <w:p>
      <w:pPr>
        <w:spacing w:line="590" w:lineRule="exact"/>
        <w:ind w:firstLine="680" w:firstLineChars="200"/>
        <w:rPr>
          <w:rFonts w:ascii="Times New Roman" w:hAnsi="Times New Roman" w:eastAsia="方正公文楷体" w:cs="Times New Roman"/>
          <w:bCs/>
          <w:spacing w:val="10"/>
          <w:sz w:val="32"/>
          <w:szCs w:val="32"/>
        </w:rPr>
      </w:pPr>
      <w:r>
        <w:rPr>
          <w:rFonts w:ascii="Times New Roman" w:hAnsi="Times New Roman" w:eastAsia="方正公文楷体" w:cs="Times New Roman"/>
          <w:bCs/>
          <w:spacing w:val="10"/>
          <w:sz w:val="32"/>
          <w:szCs w:val="32"/>
        </w:rPr>
        <w:t>（</w:t>
      </w:r>
      <w:r>
        <w:rPr>
          <w:rFonts w:hint="eastAsia" w:ascii="Times New Roman" w:hAnsi="Times New Roman" w:eastAsia="方正公文楷体" w:cs="Times New Roman"/>
          <w:bCs/>
          <w:spacing w:val="10"/>
          <w:sz w:val="32"/>
          <w:szCs w:val="32"/>
        </w:rPr>
        <w:t>二</w:t>
      </w:r>
      <w:r>
        <w:rPr>
          <w:rFonts w:ascii="Times New Roman" w:hAnsi="Times New Roman" w:eastAsia="方正公文楷体" w:cs="Times New Roman"/>
          <w:bCs/>
          <w:spacing w:val="10"/>
          <w:sz w:val="32"/>
          <w:szCs w:val="32"/>
        </w:rPr>
        <w:t>）</w:t>
      </w:r>
      <w:r>
        <w:rPr>
          <w:rFonts w:hint="eastAsia" w:ascii="Times New Roman" w:hAnsi="Times New Roman" w:eastAsia="方正公文楷体" w:cs="Times New Roman"/>
          <w:bCs/>
          <w:spacing w:val="10"/>
          <w:sz w:val="32"/>
          <w:szCs w:val="32"/>
        </w:rPr>
        <w:t>支持</w:t>
      </w:r>
      <w:r>
        <w:rPr>
          <w:rFonts w:ascii="Times New Roman" w:hAnsi="Times New Roman" w:eastAsia="方正公文楷体" w:cs="Times New Roman"/>
          <w:bCs/>
          <w:spacing w:val="10"/>
          <w:sz w:val="32"/>
          <w:szCs w:val="32"/>
        </w:rPr>
        <w:t>内容</w:t>
      </w:r>
    </w:p>
    <w:p>
      <w:pPr>
        <w:adjustRightInd w:val="0"/>
        <w:snapToGrid w:val="0"/>
        <w:spacing w:line="590" w:lineRule="exact"/>
        <w:ind w:firstLine="680" w:firstLineChars="200"/>
        <w:rPr>
          <w:rFonts w:ascii="Times New Roman" w:hAnsi="Times New Roman" w:eastAsia="方正公文仿宋" w:cs="Times New Roman"/>
          <w:bCs/>
          <w:spacing w:val="10"/>
          <w:sz w:val="32"/>
          <w:szCs w:val="32"/>
        </w:rPr>
      </w:pPr>
      <w:r>
        <w:rPr>
          <w:rFonts w:hint="eastAsia" w:ascii="Times New Roman" w:hAnsi="Times New Roman" w:eastAsia="方正公文楷体" w:cs="Times New Roman"/>
          <w:b/>
          <w:bCs/>
          <w:spacing w:val="10"/>
          <w:sz w:val="32"/>
          <w:szCs w:val="32"/>
        </w:rPr>
        <w:t>1</w:t>
      </w:r>
      <w:r>
        <w:rPr>
          <w:rFonts w:hint="eastAsia" w:ascii="Times New Roman" w:hAnsi="Times New Roman" w:eastAsia="方正公文仿宋" w:cs="Times New Roman"/>
          <w:b/>
          <w:spacing w:val="10"/>
          <w:sz w:val="32"/>
          <w:szCs w:val="32"/>
        </w:rPr>
        <w:t>.标准化</w:t>
      </w:r>
      <w:r>
        <w:rPr>
          <w:rFonts w:ascii="Times New Roman" w:hAnsi="Times New Roman" w:eastAsia="方正公文仿宋" w:cs="Times New Roman"/>
          <w:b/>
          <w:spacing w:val="10"/>
          <w:sz w:val="32"/>
          <w:szCs w:val="32"/>
        </w:rPr>
        <w:t>菜地项目：</w:t>
      </w:r>
      <w:r>
        <w:rPr>
          <w:rFonts w:ascii="Times New Roman" w:hAnsi="Times New Roman" w:eastAsia="方正公文仿宋" w:cs="Times New Roman"/>
          <w:bCs/>
          <w:spacing w:val="10"/>
          <w:sz w:val="32"/>
          <w:szCs w:val="32"/>
        </w:rPr>
        <w:t>财政资金主要用于项目区基础设施建设，主要包括：道路、沟渠、桥涵闸、泵站建设，以及对工程建设其他费用和提升基地公共服务能力的配套设施如冷藏保鲜库可给予一定补助。农资贮藏场所与设备、生产管理用房、田头检测室、田间沼气池、电路架设以及保护地栽培设施等由主体申报其他类别的项目或自筹资金建设。</w:t>
      </w:r>
    </w:p>
    <w:p>
      <w:pPr>
        <w:spacing w:line="590" w:lineRule="exact"/>
        <w:ind w:firstLine="680" w:firstLineChars="200"/>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
          <w:spacing w:val="10"/>
          <w:sz w:val="32"/>
          <w:szCs w:val="32"/>
        </w:rPr>
        <w:t>2.设施蔬菜园艺项目：</w:t>
      </w:r>
      <w:r>
        <w:rPr>
          <w:rFonts w:ascii="Times New Roman" w:hAnsi="Times New Roman" w:eastAsia="方正公文仿宋" w:cs="Times New Roman"/>
          <w:bCs/>
          <w:spacing w:val="10"/>
          <w:sz w:val="32"/>
          <w:szCs w:val="32"/>
        </w:rPr>
        <w:t>支持设施蔬菜园艺建设，重点支持标准化设施建设，包括“8332”单体大棚、连栋塑料大棚、宽体大棚、玻璃温室、钢架避雨大棚、“两网一灌”等类型</w:t>
      </w:r>
      <w:r>
        <w:rPr>
          <w:rFonts w:hint="eastAsia" w:ascii="Times New Roman" w:hAnsi="Times New Roman" w:eastAsia="方正公文仿宋" w:cs="Times New Roman"/>
          <w:bCs/>
          <w:spacing w:val="10"/>
          <w:sz w:val="32"/>
          <w:szCs w:val="32"/>
        </w:rPr>
        <w:t>。</w:t>
      </w:r>
      <w:r>
        <w:rPr>
          <w:rFonts w:ascii="Times New Roman" w:hAnsi="Times New Roman" w:eastAsia="方正公文仿宋" w:cs="Times New Roman"/>
          <w:bCs/>
          <w:spacing w:val="10"/>
          <w:sz w:val="32"/>
          <w:szCs w:val="32"/>
        </w:rPr>
        <w:t xml:space="preserve"> </w:t>
      </w:r>
    </w:p>
    <w:p>
      <w:pPr>
        <w:spacing w:line="590" w:lineRule="exact"/>
        <w:ind w:firstLine="680" w:firstLineChars="200"/>
        <w:rPr>
          <w:rFonts w:ascii="Times New Roman" w:hAnsi="Times New Roman" w:eastAsia="方正公文仿宋" w:cs="Times New Roman"/>
          <w:b/>
          <w:spacing w:val="10"/>
          <w:sz w:val="32"/>
          <w:szCs w:val="32"/>
        </w:rPr>
      </w:pPr>
      <w:r>
        <w:rPr>
          <w:rFonts w:hint="eastAsia" w:ascii="Times New Roman" w:hAnsi="Times New Roman" w:eastAsia="方正公文仿宋" w:cs="Times New Roman"/>
          <w:b/>
          <w:spacing w:val="10"/>
          <w:sz w:val="32"/>
          <w:szCs w:val="32"/>
        </w:rPr>
        <w:t>3.高效特色园艺基地项目：</w:t>
      </w:r>
      <w:r>
        <w:rPr>
          <w:rFonts w:hint="eastAsia" w:ascii="Times New Roman" w:hAnsi="Times New Roman" w:eastAsia="方正公文仿宋" w:cs="Times New Roman"/>
          <w:spacing w:val="10"/>
          <w:kern w:val="0"/>
          <w:sz w:val="32"/>
          <w:szCs w:val="32"/>
        </w:rPr>
        <w:t>主要用于支持</w:t>
      </w:r>
      <w:r>
        <w:rPr>
          <w:rFonts w:ascii="Times New Roman" w:hAnsi="Times New Roman" w:eastAsia="方正公文仿宋" w:cs="Times New Roman"/>
          <w:spacing w:val="10"/>
          <w:kern w:val="0"/>
          <w:sz w:val="32"/>
          <w:szCs w:val="32"/>
        </w:rPr>
        <w:t>多年生园艺种苗、优新种苗繁育、“三新”（即新品种，新技术，新模式）试验示范与推广应用、基础设施建设。其中基础设施建设包含项目区生产道路、灌排渠道，小型生产桥、涵、闸、小型机电排灌站及相关配套设施建设等内容。不包含土方工程、土壤改良、设施建设、施工机械、办公用房建设及人员工资等费用。</w:t>
      </w:r>
    </w:p>
    <w:p>
      <w:pPr>
        <w:spacing w:line="590" w:lineRule="exact"/>
        <w:ind w:firstLine="680" w:firstLineChars="200"/>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
          <w:spacing w:val="10"/>
          <w:sz w:val="32"/>
          <w:szCs w:val="32"/>
        </w:rPr>
        <w:t>4.</w:t>
      </w:r>
      <w:r>
        <w:rPr>
          <w:rFonts w:ascii="Times New Roman" w:hAnsi="Times New Roman" w:eastAsia="方正公文仿宋" w:cs="Times New Roman"/>
          <w:b/>
          <w:spacing w:val="10"/>
          <w:sz w:val="32"/>
          <w:szCs w:val="32"/>
        </w:rPr>
        <w:t>蔬菜园艺病虫绿色防控试验示范与推广项目：</w:t>
      </w:r>
      <w:r>
        <w:rPr>
          <w:rFonts w:ascii="Times New Roman" w:hAnsi="Times New Roman" w:eastAsia="方正公文仿宋" w:cs="Times New Roman"/>
          <w:bCs/>
          <w:spacing w:val="10"/>
          <w:sz w:val="32"/>
          <w:szCs w:val="32"/>
        </w:rPr>
        <w:t>主要支持项目区合理配置和使用杀虫灯、粘虫色板、性诱剂、生物农药或高效低毒低残留农药（以生物农药为主）、害虫驱避膜等新型病虫害绿色防控物资和设备，</w:t>
      </w:r>
      <w:r>
        <w:rPr>
          <w:rFonts w:hint="eastAsia" w:ascii="Times New Roman" w:hAnsi="Times New Roman" w:eastAsia="方正公文仿宋" w:cs="Times New Roman"/>
          <w:bCs/>
          <w:spacing w:val="10"/>
          <w:sz w:val="32"/>
          <w:szCs w:val="32"/>
        </w:rPr>
        <w:t>以及能够改良土壤，提高作物品质的生物菌肥。</w:t>
      </w:r>
      <w:r>
        <w:rPr>
          <w:rFonts w:ascii="Times New Roman" w:hAnsi="Times New Roman" w:eastAsia="方正公文仿宋" w:cs="Times New Roman"/>
          <w:bCs/>
          <w:spacing w:val="10"/>
          <w:sz w:val="32"/>
          <w:szCs w:val="32"/>
        </w:rPr>
        <w:t>支持项目区与科研、推广单位等合作开展新型绿色防控技术模式的研究和示范，鼓励项目单位积极引进和示范科技含量高、防控效果好的新型绿色防控技术模式。</w:t>
      </w:r>
    </w:p>
    <w:p>
      <w:pPr>
        <w:spacing w:line="590" w:lineRule="exact"/>
        <w:ind w:firstLine="680" w:firstLineChars="200"/>
        <w:rPr>
          <w:rFonts w:ascii="Times New Roman" w:hAnsi="Times New Roman" w:eastAsia="方正公文楷体" w:cs="Times New Roman"/>
          <w:bCs/>
          <w:spacing w:val="10"/>
          <w:sz w:val="32"/>
          <w:szCs w:val="32"/>
        </w:rPr>
      </w:pPr>
      <w:r>
        <w:rPr>
          <w:rFonts w:ascii="Times New Roman" w:hAnsi="Times New Roman" w:eastAsia="方正公文楷体" w:cs="Times New Roman"/>
          <w:bCs/>
          <w:spacing w:val="10"/>
          <w:sz w:val="32"/>
          <w:szCs w:val="32"/>
        </w:rPr>
        <w:t>（</w:t>
      </w:r>
      <w:r>
        <w:rPr>
          <w:rFonts w:hint="eastAsia" w:ascii="Times New Roman" w:hAnsi="Times New Roman" w:eastAsia="方正公文楷体" w:cs="Times New Roman"/>
          <w:bCs/>
          <w:spacing w:val="10"/>
          <w:sz w:val="32"/>
          <w:szCs w:val="32"/>
        </w:rPr>
        <w:t>三</w:t>
      </w:r>
      <w:r>
        <w:rPr>
          <w:rFonts w:ascii="Times New Roman" w:hAnsi="Times New Roman" w:eastAsia="方正公文楷体" w:cs="Times New Roman"/>
          <w:bCs/>
          <w:spacing w:val="10"/>
          <w:sz w:val="32"/>
          <w:szCs w:val="32"/>
        </w:rPr>
        <w:t>）</w:t>
      </w:r>
      <w:r>
        <w:rPr>
          <w:rFonts w:hint="eastAsia" w:ascii="Times New Roman" w:hAnsi="Times New Roman" w:eastAsia="方正公文楷体" w:cs="Times New Roman"/>
          <w:bCs/>
          <w:spacing w:val="10"/>
          <w:sz w:val="32"/>
          <w:szCs w:val="32"/>
        </w:rPr>
        <w:t>支持</w:t>
      </w:r>
      <w:r>
        <w:rPr>
          <w:rFonts w:ascii="Times New Roman" w:hAnsi="Times New Roman" w:eastAsia="方正公文楷体" w:cs="Times New Roman"/>
          <w:bCs/>
          <w:spacing w:val="10"/>
          <w:sz w:val="32"/>
          <w:szCs w:val="32"/>
        </w:rPr>
        <w:t>标准</w:t>
      </w:r>
    </w:p>
    <w:p>
      <w:pPr>
        <w:spacing w:line="590" w:lineRule="exact"/>
        <w:ind w:firstLine="680" w:firstLineChars="200"/>
        <w:contextualSpacing/>
        <w:rPr>
          <w:rFonts w:ascii="Times New Roman" w:hAnsi="Times New Roman" w:eastAsia="方正公文仿宋" w:cs="Times New Roman"/>
          <w:b/>
          <w:spacing w:val="10"/>
          <w:sz w:val="32"/>
          <w:szCs w:val="32"/>
        </w:rPr>
      </w:pPr>
      <w:r>
        <w:rPr>
          <w:rFonts w:hint="eastAsia" w:ascii="Times New Roman" w:hAnsi="Times New Roman" w:eastAsia="方正公文仿宋" w:cs="Times New Roman"/>
          <w:b/>
          <w:spacing w:val="10"/>
          <w:sz w:val="32"/>
          <w:szCs w:val="32"/>
        </w:rPr>
        <w:t>1.标准化菜地项目：</w:t>
      </w:r>
      <w:r>
        <w:rPr>
          <w:rFonts w:ascii="Times New Roman" w:hAnsi="Times New Roman" w:eastAsia="方正公文仿宋" w:cs="Times New Roman"/>
          <w:spacing w:val="10"/>
          <w:sz w:val="32"/>
          <w:szCs w:val="32"/>
        </w:rPr>
        <w:t>对经核定的道路、沟渠、桥涵闸、泵站</w:t>
      </w:r>
      <w:r>
        <w:rPr>
          <w:rFonts w:hint="eastAsia" w:ascii="Times New Roman" w:hAnsi="Times New Roman" w:eastAsia="方正公文仿宋" w:cs="Times New Roman"/>
          <w:spacing w:val="10"/>
          <w:sz w:val="32"/>
          <w:szCs w:val="32"/>
        </w:rPr>
        <w:t>等</w:t>
      </w:r>
      <w:r>
        <w:rPr>
          <w:rFonts w:ascii="Times New Roman" w:hAnsi="Times New Roman" w:eastAsia="方正公文仿宋" w:cs="Times New Roman"/>
          <w:spacing w:val="10"/>
          <w:sz w:val="32"/>
          <w:szCs w:val="32"/>
        </w:rPr>
        <w:t>基础设施予以补助</w:t>
      </w:r>
      <w:r>
        <w:rPr>
          <w:rFonts w:hint="eastAsia" w:ascii="Times New Roman" w:hAnsi="Times New Roman" w:eastAsia="方正公文仿宋" w:cs="Times New Roman"/>
          <w:spacing w:val="10"/>
          <w:sz w:val="32"/>
          <w:szCs w:val="32"/>
        </w:rPr>
        <w:t>，每亩补助不超过8000元。</w:t>
      </w:r>
      <w:r>
        <w:rPr>
          <w:rFonts w:ascii="Times New Roman" w:hAnsi="Times New Roman" w:eastAsia="方正公文仿宋" w:cs="Times New Roman"/>
          <w:spacing w:val="10"/>
          <w:sz w:val="32"/>
          <w:szCs w:val="32"/>
        </w:rPr>
        <w:t>对工程建设其它费用（规划设计、招标、监理</w:t>
      </w:r>
      <w:r>
        <w:rPr>
          <w:rFonts w:hint="eastAsia" w:ascii="Times New Roman" w:hAnsi="Times New Roman" w:eastAsia="方正公文仿宋" w:cs="Times New Roman"/>
          <w:spacing w:val="10"/>
          <w:sz w:val="32"/>
          <w:szCs w:val="32"/>
        </w:rPr>
        <w:t>、审计</w:t>
      </w:r>
      <w:r>
        <w:rPr>
          <w:rFonts w:ascii="Times New Roman" w:hAnsi="Times New Roman" w:eastAsia="方正公文仿宋" w:cs="Times New Roman"/>
          <w:spacing w:val="10"/>
          <w:sz w:val="32"/>
          <w:szCs w:val="32"/>
        </w:rPr>
        <w:t>等）财政定补</w:t>
      </w:r>
      <w:r>
        <w:rPr>
          <w:rFonts w:hint="eastAsia" w:ascii="Times New Roman" w:hAnsi="Times New Roman" w:eastAsia="方正公文仿宋" w:cs="Times New Roman"/>
          <w:spacing w:val="10"/>
          <w:sz w:val="32"/>
          <w:szCs w:val="32"/>
        </w:rPr>
        <w:t>不超过</w:t>
      </w:r>
      <w:r>
        <w:rPr>
          <w:rFonts w:ascii="Times New Roman" w:hAnsi="Times New Roman" w:eastAsia="方正公文仿宋" w:cs="Times New Roman"/>
          <w:spacing w:val="10"/>
          <w:sz w:val="32"/>
          <w:szCs w:val="32"/>
        </w:rPr>
        <w:t>10万元，</w:t>
      </w:r>
      <w:r>
        <w:rPr>
          <w:rFonts w:hint="eastAsia" w:ascii="Times New Roman" w:hAnsi="Times New Roman" w:eastAsia="方正公文仿宋" w:cs="Times New Roman"/>
          <w:spacing w:val="10"/>
          <w:sz w:val="32"/>
          <w:szCs w:val="32"/>
        </w:rPr>
        <w:t>对</w:t>
      </w:r>
      <w:r>
        <w:rPr>
          <w:rFonts w:ascii="Times New Roman" w:hAnsi="Times New Roman" w:eastAsia="方正公文仿宋" w:cs="Times New Roman"/>
          <w:spacing w:val="10"/>
          <w:sz w:val="32"/>
          <w:szCs w:val="32"/>
        </w:rPr>
        <w:t>100</w:t>
      </w:r>
      <w:r>
        <w:rPr>
          <w:rFonts w:hint="eastAsia" w:ascii="Times New Roman" w:hAnsi="Times New Roman" w:eastAsia="方正公文仿宋" w:cs="Times New Roman"/>
          <w:spacing w:val="10"/>
          <w:sz w:val="32"/>
          <w:szCs w:val="32"/>
        </w:rPr>
        <w:t>m3</w:t>
      </w:r>
      <w:r>
        <w:rPr>
          <w:rFonts w:ascii="Times New Roman" w:hAnsi="Times New Roman" w:eastAsia="方正公文仿宋" w:cs="Times New Roman"/>
          <w:spacing w:val="10"/>
          <w:sz w:val="32"/>
          <w:szCs w:val="32"/>
        </w:rPr>
        <w:t>以上</w:t>
      </w:r>
      <w:r>
        <w:rPr>
          <w:rFonts w:hint="eastAsia" w:ascii="Times New Roman" w:hAnsi="Times New Roman" w:eastAsia="方正公文仿宋" w:cs="Times New Roman"/>
          <w:spacing w:val="10"/>
          <w:sz w:val="32"/>
          <w:szCs w:val="32"/>
        </w:rPr>
        <w:t>的</w:t>
      </w:r>
      <w:r>
        <w:rPr>
          <w:rFonts w:ascii="Times New Roman" w:hAnsi="Times New Roman" w:eastAsia="方正公文仿宋" w:cs="Times New Roman"/>
          <w:spacing w:val="10"/>
          <w:sz w:val="32"/>
          <w:szCs w:val="32"/>
        </w:rPr>
        <w:t>冷库建设定补10万元。</w:t>
      </w:r>
    </w:p>
    <w:p>
      <w:pPr>
        <w:spacing w:line="590" w:lineRule="exact"/>
        <w:ind w:firstLine="680" w:firstLineChars="200"/>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
          <w:spacing w:val="10"/>
          <w:sz w:val="32"/>
          <w:szCs w:val="32"/>
        </w:rPr>
        <w:t>2.设施蔬菜园艺项目：</w:t>
      </w:r>
      <w:r>
        <w:rPr>
          <w:rFonts w:hint="eastAsia" w:ascii="Times New Roman" w:hAnsi="Times New Roman" w:eastAsia="方正公文仿宋" w:cs="Times New Roman"/>
          <w:spacing w:val="10"/>
          <w:kern w:val="0"/>
          <w:sz w:val="32"/>
          <w:szCs w:val="32"/>
        </w:rPr>
        <w:t>国营林场、国营茶场</w:t>
      </w:r>
      <w:r>
        <w:rPr>
          <w:rFonts w:ascii="Times New Roman" w:hAnsi="Times New Roman" w:eastAsia="方正公文仿宋" w:cs="Times New Roman"/>
          <w:bCs/>
          <w:spacing w:val="10"/>
          <w:sz w:val="32"/>
          <w:szCs w:val="32"/>
        </w:rPr>
        <w:t>不超过项目总投资的</w:t>
      </w:r>
      <w:r>
        <w:rPr>
          <w:rFonts w:hint="eastAsia" w:ascii="Times New Roman" w:hAnsi="Times New Roman" w:eastAsia="方正公文仿宋" w:cs="Times New Roman"/>
          <w:bCs/>
          <w:spacing w:val="10"/>
          <w:sz w:val="32"/>
          <w:szCs w:val="32"/>
        </w:rPr>
        <w:t>80%，其他申报主体</w:t>
      </w:r>
      <w:r>
        <w:rPr>
          <w:rFonts w:ascii="Times New Roman" w:hAnsi="Times New Roman" w:eastAsia="方正公文仿宋" w:cs="Times New Roman"/>
          <w:bCs/>
          <w:spacing w:val="10"/>
          <w:sz w:val="32"/>
          <w:szCs w:val="32"/>
        </w:rPr>
        <w:t>不超过项目总投资的50%，扶持的单体项目</w:t>
      </w:r>
      <w:r>
        <w:rPr>
          <w:rFonts w:ascii="Times New Roman" w:hAnsi="Times New Roman" w:eastAsia="方正公文仿宋" w:cs="Times New Roman"/>
          <w:spacing w:val="10"/>
          <w:sz w:val="32"/>
          <w:szCs w:val="32"/>
        </w:rPr>
        <w:t>设施蔬菜园艺</w:t>
      </w:r>
      <w:r>
        <w:rPr>
          <w:rFonts w:ascii="Times New Roman" w:hAnsi="Times New Roman" w:eastAsia="方正公文仿宋" w:cs="Times New Roman"/>
          <w:bCs/>
          <w:spacing w:val="10"/>
          <w:sz w:val="32"/>
          <w:szCs w:val="32"/>
        </w:rPr>
        <w:t>专项资金最高不超过200万元</w:t>
      </w:r>
      <w:r>
        <w:rPr>
          <w:rFonts w:hint="eastAsia" w:ascii="Times New Roman" w:hAnsi="Times New Roman" w:eastAsia="方正公文仿宋" w:cs="Times New Roman"/>
          <w:bCs/>
          <w:spacing w:val="10"/>
          <w:sz w:val="32"/>
          <w:szCs w:val="32"/>
        </w:rPr>
        <w:t>，</w:t>
      </w:r>
      <w:r>
        <w:rPr>
          <w:rFonts w:ascii="Times New Roman" w:hAnsi="Times New Roman" w:eastAsia="方正公文仿宋" w:cs="Times New Roman"/>
          <w:bCs/>
          <w:spacing w:val="10"/>
          <w:sz w:val="32"/>
          <w:szCs w:val="32"/>
        </w:rPr>
        <w:t>扶持的单体项目总投资不得低于</w:t>
      </w:r>
      <w:r>
        <w:rPr>
          <w:rFonts w:ascii="Times New Roman" w:hAnsi="Times New Roman" w:eastAsia="方正公文仿宋" w:cs="Times New Roman"/>
          <w:b/>
          <w:bCs/>
          <w:spacing w:val="10"/>
          <w:sz w:val="32"/>
          <w:szCs w:val="32"/>
        </w:rPr>
        <w:t>20</w:t>
      </w:r>
      <w:r>
        <w:rPr>
          <w:rFonts w:ascii="Times New Roman" w:hAnsi="Times New Roman" w:eastAsia="方正公文仿宋" w:cs="Times New Roman"/>
          <w:bCs/>
          <w:spacing w:val="10"/>
          <w:sz w:val="32"/>
          <w:szCs w:val="32"/>
        </w:rPr>
        <w:t>万元。</w:t>
      </w:r>
    </w:p>
    <w:p>
      <w:pPr>
        <w:spacing w:line="590" w:lineRule="exact"/>
        <w:ind w:firstLine="680" w:firstLineChars="200"/>
        <w:contextualSpacing/>
        <w:rPr>
          <w:rFonts w:ascii="Times New Roman" w:hAnsi="Times New Roman" w:eastAsia="方正公文仿宋" w:cs="Times New Roman"/>
          <w:spacing w:val="10"/>
          <w:sz w:val="32"/>
          <w:szCs w:val="32"/>
        </w:rPr>
      </w:pPr>
      <w:r>
        <w:rPr>
          <w:rFonts w:hint="eastAsia" w:ascii="Times New Roman" w:hAnsi="Times New Roman" w:eastAsia="方正公文仿宋" w:cs="Times New Roman"/>
          <w:b/>
          <w:spacing w:val="10"/>
          <w:sz w:val="32"/>
          <w:szCs w:val="32"/>
        </w:rPr>
        <w:t>3.高效特色园艺基地项目：</w:t>
      </w:r>
      <w:r>
        <w:rPr>
          <w:rFonts w:hint="eastAsia" w:ascii="Times New Roman" w:hAnsi="Times New Roman" w:eastAsia="方正公文仿宋" w:cs="Times New Roman"/>
          <w:spacing w:val="10"/>
          <w:kern w:val="0"/>
          <w:sz w:val="32"/>
          <w:szCs w:val="32"/>
        </w:rPr>
        <w:t>国营林场、国营茶场</w:t>
      </w:r>
      <w:r>
        <w:rPr>
          <w:rFonts w:ascii="Times New Roman" w:hAnsi="Times New Roman" w:eastAsia="方正公文仿宋" w:cs="Times New Roman"/>
          <w:spacing w:val="10"/>
          <w:sz w:val="32"/>
          <w:szCs w:val="32"/>
        </w:rPr>
        <w:t>补助资金比例不超过总投资的</w:t>
      </w:r>
      <w:r>
        <w:rPr>
          <w:rFonts w:hint="eastAsia" w:ascii="Times New Roman" w:hAnsi="Times New Roman" w:eastAsia="方正公文仿宋" w:cs="Times New Roman"/>
          <w:spacing w:val="10"/>
          <w:sz w:val="32"/>
          <w:szCs w:val="32"/>
        </w:rPr>
        <w:t>8</w:t>
      </w:r>
      <w:r>
        <w:rPr>
          <w:rFonts w:ascii="Times New Roman" w:hAnsi="Times New Roman" w:eastAsia="方正公文仿宋" w:cs="Times New Roman"/>
          <w:spacing w:val="10"/>
          <w:sz w:val="32"/>
          <w:szCs w:val="32"/>
        </w:rPr>
        <w:t>0%，单个项目补助资金不超过</w:t>
      </w:r>
      <w:r>
        <w:rPr>
          <w:rFonts w:hint="eastAsia" w:ascii="Times New Roman" w:hAnsi="Times New Roman" w:eastAsia="方正公文仿宋" w:cs="Times New Roman"/>
          <w:spacing w:val="10"/>
          <w:sz w:val="32"/>
          <w:szCs w:val="32"/>
        </w:rPr>
        <w:t>8</w:t>
      </w:r>
      <w:r>
        <w:rPr>
          <w:rFonts w:ascii="Times New Roman" w:hAnsi="Times New Roman" w:eastAsia="方正公文仿宋" w:cs="Times New Roman"/>
          <w:spacing w:val="10"/>
          <w:sz w:val="32"/>
          <w:szCs w:val="32"/>
        </w:rPr>
        <w:t>0万元</w:t>
      </w:r>
      <w:r>
        <w:rPr>
          <w:rFonts w:hint="eastAsia" w:ascii="Times New Roman" w:hAnsi="Times New Roman" w:eastAsia="方正公文仿宋" w:cs="Times New Roman"/>
          <w:spacing w:val="10"/>
          <w:sz w:val="32"/>
          <w:szCs w:val="32"/>
        </w:rPr>
        <w:t>；</w:t>
      </w:r>
      <w:r>
        <w:rPr>
          <w:rFonts w:ascii="Times New Roman" w:hAnsi="Times New Roman" w:eastAsia="方正公文仿宋" w:cs="Times New Roman"/>
          <w:spacing w:val="10"/>
          <w:sz w:val="32"/>
          <w:szCs w:val="32"/>
        </w:rPr>
        <w:t>其他申报主体补助资金不超过总投资的50%，单个项目补助资金不超过50万元</w:t>
      </w:r>
      <w:r>
        <w:rPr>
          <w:rFonts w:hint="eastAsia" w:ascii="Times New Roman" w:hAnsi="Times New Roman" w:eastAsia="方正公文仿宋" w:cs="Times New Roman"/>
          <w:spacing w:val="10"/>
          <w:sz w:val="32"/>
          <w:szCs w:val="32"/>
        </w:rPr>
        <w:t>。</w:t>
      </w:r>
      <w:r>
        <w:rPr>
          <w:rFonts w:ascii="Times New Roman" w:hAnsi="Times New Roman" w:eastAsia="方正公文仿宋" w:cs="Times New Roman"/>
          <w:spacing w:val="10"/>
          <w:sz w:val="32"/>
          <w:szCs w:val="32"/>
        </w:rPr>
        <w:t>原则上基础设施占总投资的60%，种苗占总投资的40%。</w:t>
      </w:r>
    </w:p>
    <w:p>
      <w:pPr>
        <w:spacing w:line="590" w:lineRule="exact"/>
        <w:ind w:firstLine="680" w:firstLineChars="200"/>
        <w:contextualSpacing/>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
          <w:spacing w:val="10"/>
          <w:sz w:val="32"/>
          <w:szCs w:val="32"/>
        </w:rPr>
        <w:t>4.</w:t>
      </w:r>
      <w:r>
        <w:rPr>
          <w:rFonts w:ascii="Times New Roman" w:hAnsi="Times New Roman" w:eastAsia="方正公文仿宋" w:cs="Times New Roman"/>
          <w:b/>
          <w:spacing w:val="10"/>
          <w:sz w:val="32"/>
          <w:szCs w:val="32"/>
        </w:rPr>
        <w:t>蔬菜园艺病虫绿色防控试验示范与推广项目：</w:t>
      </w:r>
      <w:r>
        <w:rPr>
          <w:rFonts w:hint="eastAsia" w:ascii="Times New Roman" w:hAnsi="Times New Roman" w:eastAsia="方正公文仿宋" w:cs="Times New Roman"/>
          <w:spacing w:val="10"/>
          <w:sz w:val="32"/>
          <w:szCs w:val="32"/>
        </w:rPr>
        <w:t>补助金额按照核定后实施方案所需物化成本</w:t>
      </w:r>
      <w:r>
        <w:rPr>
          <w:rFonts w:ascii="Times New Roman" w:hAnsi="Times New Roman" w:eastAsia="方正公文仿宋" w:cs="Times New Roman"/>
          <w:spacing w:val="10"/>
          <w:sz w:val="32"/>
          <w:szCs w:val="32"/>
        </w:rPr>
        <w:t>100%全额物化补贴</w:t>
      </w:r>
      <w:r>
        <w:rPr>
          <w:rFonts w:hint="eastAsia" w:ascii="Times New Roman" w:hAnsi="Times New Roman" w:eastAsia="方正公文仿宋" w:cs="Times New Roman"/>
          <w:spacing w:val="10"/>
          <w:sz w:val="32"/>
          <w:szCs w:val="32"/>
        </w:rPr>
        <w:t>。蔬菜（含早园竹）基地按照1500元/亩，果品、茶叶基地按照1000元/亩的标准进行补助，原则上单个项目补助资金不超过30万元。</w:t>
      </w:r>
    </w:p>
    <w:p>
      <w:pPr>
        <w:spacing w:line="590" w:lineRule="exact"/>
        <w:ind w:firstLine="680" w:firstLineChars="200"/>
        <w:rPr>
          <w:rFonts w:ascii="Times New Roman" w:hAnsi="Times New Roman" w:eastAsia="方正公文楷体" w:cs="Times New Roman"/>
          <w:bCs/>
          <w:spacing w:val="10"/>
          <w:sz w:val="32"/>
          <w:szCs w:val="32"/>
        </w:rPr>
      </w:pPr>
      <w:r>
        <w:rPr>
          <w:rFonts w:ascii="Times New Roman" w:hAnsi="Times New Roman" w:eastAsia="方正公文楷体" w:cs="Times New Roman"/>
          <w:bCs/>
          <w:spacing w:val="10"/>
          <w:sz w:val="32"/>
          <w:szCs w:val="32"/>
        </w:rPr>
        <w:t>（</w:t>
      </w:r>
      <w:r>
        <w:rPr>
          <w:rFonts w:hint="eastAsia" w:ascii="Times New Roman" w:hAnsi="Times New Roman" w:eastAsia="方正公文楷体" w:cs="Times New Roman"/>
          <w:bCs/>
          <w:spacing w:val="10"/>
          <w:sz w:val="32"/>
          <w:szCs w:val="32"/>
        </w:rPr>
        <w:t>四</w:t>
      </w:r>
      <w:r>
        <w:rPr>
          <w:rFonts w:ascii="Times New Roman" w:hAnsi="Times New Roman" w:eastAsia="方正公文楷体" w:cs="Times New Roman"/>
          <w:bCs/>
          <w:spacing w:val="10"/>
          <w:sz w:val="32"/>
          <w:szCs w:val="32"/>
        </w:rPr>
        <w:t>）</w:t>
      </w:r>
      <w:r>
        <w:rPr>
          <w:rFonts w:hint="eastAsia" w:ascii="Times New Roman" w:hAnsi="Times New Roman" w:eastAsia="方正公文楷体" w:cs="Times New Roman"/>
          <w:bCs/>
          <w:spacing w:val="10"/>
          <w:sz w:val="32"/>
          <w:szCs w:val="32"/>
        </w:rPr>
        <w:t>申报条件</w:t>
      </w:r>
    </w:p>
    <w:p>
      <w:pPr>
        <w:adjustRightInd w:val="0"/>
        <w:snapToGrid w:val="0"/>
        <w:spacing w:line="590" w:lineRule="exact"/>
        <w:ind w:firstLine="680" w:firstLineChars="200"/>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
          <w:spacing w:val="10"/>
          <w:sz w:val="32"/>
          <w:szCs w:val="32"/>
        </w:rPr>
        <w:t>1.标准化</w:t>
      </w:r>
      <w:r>
        <w:rPr>
          <w:rFonts w:ascii="Times New Roman" w:hAnsi="Times New Roman" w:eastAsia="方正公文仿宋" w:cs="Times New Roman"/>
          <w:b/>
          <w:spacing w:val="10"/>
          <w:sz w:val="32"/>
          <w:szCs w:val="32"/>
        </w:rPr>
        <w:t>菜地项目：</w:t>
      </w:r>
      <w:r>
        <w:rPr>
          <w:rFonts w:ascii="Times New Roman" w:hAnsi="Times New Roman" w:eastAsia="方正公文仿宋" w:cs="Times New Roman"/>
          <w:bCs/>
          <w:spacing w:val="10"/>
          <w:sz w:val="32"/>
          <w:szCs w:val="32"/>
        </w:rPr>
        <w:t>项目区连片面积不少于100亩，具有建成永久性蔬菜基地的条件，项目建成后种植蔬菜面积达90%以上</w:t>
      </w:r>
      <w:r>
        <w:rPr>
          <w:rFonts w:hint="eastAsia" w:ascii="Times New Roman" w:hAnsi="Times New Roman" w:eastAsia="方正公文仿宋" w:cs="Times New Roman"/>
          <w:bCs/>
          <w:spacing w:val="10"/>
          <w:sz w:val="32"/>
          <w:szCs w:val="32"/>
        </w:rPr>
        <w:t>，</w:t>
      </w:r>
      <w:r>
        <w:rPr>
          <w:rFonts w:ascii="Times New Roman" w:hAnsi="Times New Roman" w:eastAsia="方正公文仿宋" w:cs="Times New Roman"/>
          <w:bCs/>
          <w:spacing w:val="10"/>
          <w:sz w:val="32"/>
          <w:szCs w:val="32"/>
        </w:rPr>
        <w:t>严禁改变用途。项目区须由一个或多个农民合作经济组织（或企业）牵头组织生产</w:t>
      </w:r>
      <w:r>
        <w:rPr>
          <w:rFonts w:hint="eastAsia" w:ascii="Times New Roman" w:hAnsi="Times New Roman" w:eastAsia="方正公文仿宋" w:cs="Times New Roman"/>
          <w:bCs/>
          <w:spacing w:val="10"/>
          <w:sz w:val="32"/>
          <w:szCs w:val="32"/>
        </w:rPr>
        <w:t>。</w:t>
      </w:r>
      <w:r>
        <w:rPr>
          <w:rFonts w:ascii="Times New Roman" w:hAnsi="Times New Roman" w:eastAsia="方正公文仿宋" w:cs="Times New Roman"/>
          <w:bCs/>
          <w:spacing w:val="10"/>
          <w:sz w:val="32"/>
          <w:szCs w:val="32"/>
        </w:rPr>
        <w:t>凡统筹协调和整合落实农田水利、土地综合整治、设施农业、农田建设等项目资金的优先立项，2013年以来实施标准化菜地示范方项目较好的实施主体再次申报的可优先立项。</w:t>
      </w:r>
    </w:p>
    <w:p>
      <w:pPr>
        <w:spacing w:line="590" w:lineRule="exact"/>
        <w:ind w:firstLine="680" w:firstLineChars="200"/>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
          <w:spacing w:val="10"/>
          <w:sz w:val="32"/>
          <w:szCs w:val="32"/>
        </w:rPr>
        <w:t>2.</w:t>
      </w:r>
      <w:r>
        <w:rPr>
          <w:rFonts w:ascii="Times New Roman" w:hAnsi="Times New Roman" w:eastAsia="方正公文仿宋" w:cs="Times New Roman"/>
          <w:b/>
          <w:spacing w:val="10"/>
          <w:sz w:val="32"/>
          <w:szCs w:val="32"/>
        </w:rPr>
        <w:t>设施蔬菜园艺项目：</w:t>
      </w:r>
      <w:r>
        <w:rPr>
          <w:rFonts w:ascii="Times New Roman" w:hAnsi="Times New Roman" w:eastAsia="方正公文仿宋" w:cs="Times New Roman"/>
          <w:bCs/>
          <w:spacing w:val="10"/>
          <w:sz w:val="32"/>
          <w:szCs w:val="32"/>
        </w:rPr>
        <w:t>符合我区优势产业发展规划要求，规模集中连片，扶持目录及</w:t>
      </w:r>
      <w:r>
        <w:rPr>
          <w:rFonts w:hint="eastAsia" w:ascii="Times New Roman" w:hAnsi="Times New Roman" w:eastAsia="方正公文仿宋" w:cs="Times New Roman"/>
          <w:bCs/>
          <w:spacing w:val="10"/>
          <w:sz w:val="32"/>
          <w:szCs w:val="32"/>
        </w:rPr>
        <w:t>具体面积要求（见附件1、2）</w:t>
      </w:r>
      <w:r>
        <w:rPr>
          <w:rFonts w:ascii="Times New Roman" w:hAnsi="Times New Roman" w:eastAsia="方正公文仿宋" w:cs="Times New Roman"/>
          <w:bCs/>
          <w:spacing w:val="10"/>
          <w:sz w:val="32"/>
          <w:szCs w:val="32"/>
        </w:rPr>
        <w:t>，</w:t>
      </w:r>
      <w:r>
        <w:rPr>
          <w:rFonts w:hint="eastAsia" w:ascii="Times New Roman" w:hAnsi="Times New Roman" w:eastAsia="方正公文仿宋" w:cs="Times New Roman"/>
          <w:bCs/>
          <w:spacing w:val="10"/>
          <w:sz w:val="32"/>
          <w:szCs w:val="32"/>
        </w:rPr>
        <w:t>蔬菜类设施建设需配套棚内喷滴灌设施。</w:t>
      </w:r>
    </w:p>
    <w:p>
      <w:pPr>
        <w:spacing w:line="590" w:lineRule="exact"/>
        <w:ind w:firstLine="680" w:firstLineChars="200"/>
        <w:rPr>
          <w:rFonts w:ascii="Times New Roman" w:hAnsi="Times New Roman" w:eastAsia="方正公文仿宋" w:cs="Times New Roman"/>
          <w:b/>
          <w:spacing w:val="10"/>
          <w:sz w:val="32"/>
          <w:szCs w:val="32"/>
        </w:rPr>
      </w:pPr>
      <w:r>
        <w:rPr>
          <w:rFonts w:hint="eastAsia" w:ascii="Times New Roman" w:hAnsi="Times New Roman" w:eastAsia="方正公文仿宋" w:cs="Times New Roman"/>
          <w:b/>
          <w:spacing w:val="10"/>
          <w:sz w:val="32"/>
          <w:szCs w:val="32"/>
        </w:rPr>
        <w:t>3.高效特色园艺基地项目：</w:t>
      </w:r>
      <w:r>
        <w:rPr>
          <w:rFonts w:ascii="Times New Roman" w:hAnsi="Times New Roman" w:eastAsia="方正公文仿宋" w:cs="Times New Roman"/>
          <w:spacing w:val="10"/>
          <w:kern w:val="0"/>
          <w:sz w:val="32"/>
          <w:szCs w:val="32"/>
        </w:rPr>
        <w:t>项目须为新建或改扩建具有一定规模的高效特色园艺基地，须符合产地环境达标、产业特色突出、功能布局合理等基本要求。建设面积原则上不少于50亩，从事种苗繁育、“三新”引进试验示范基地的面积可适当放宽。重点扶持规模特色茶园和果园，适当兼顾其他特色园艺，项目建成后要对园艺生产起示范带动作用。</w:t>
      </w:r>
    </w:p>
    <w:p>
      <w:pPr>
        <w:spacing w:line="590" w:lineRule="exact"/>
        <w:ind w:firstLine="680" w:firstLineChars="200"/>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
          <w:spacing w:val="10"/>
          <w:sz w:val="32"/>
          <w:szCs w:val="32"/>
        </w:rPr>
        <w:t>4.</w:t>
      </w:r>
      <w:r>
        <w:rPr>
          <w:rFonts w:ascii="Times New Roman" w:hAnsi="Times New Roman" w:eastAsia="方正公文仿宋" w:cs="Times New Roman"/>
          <w:b/>
          <w:spacing w:val="10"/>
          <w:sz w:val="32"/>
          <w:szCs w:val="32"/>
        </w:rPr>
        <w:t>蔬菜园艺病虫绿色防控试验示范与推广项目：</w:t>
      </w:r>
      <w:r>
        <w:rPr>
          <w:rFonts w:ascii="Times New Roman" w:hAnsi="Times New Roman" w:eastAsia="方正公文仿宋" w:cs="Times New Roman"/>
          <w:spacing w:val="10"/>
          <w:kern w:val="0"/>
          <w:sz w:val="32"/>
          <w:szCs w:val="32"/>
        </w:rPr>
        <w:t>项目区生产基础较好，相对集中连片，</w:t>
      </w:r>
      <w:r>
        <w:rPr>
          <w:rFonts w:ascii="Times New Roman" w:hAnsi="Times New Roman" w:eastAsia="方正公文仿宋" w:cs="Times New Roman"/>
          <w:b/>
          <w:spacing w:val="10"/>
          <w:kern w:val="0"/>
          <w:sz w:val="32"/>
          <w:szCs w:val="32"/>
        </w:rPr>
        <w:t>并且已经进入</w:t>
      </w:r>
      <w:r>
        <w:rPr>
          <w:rFonts w:hint="eastAsia" w:ascii="Times New Roman" w:hAnsi="Times New Roman" w:eastAsia="方正公文仿宋" w:cs="Times New Roman"/>
          <w:b/>
          <w:spacing w:val="10"/>
          <w:kern w:val="0"/>
          <w:sz w:val="32"/>
          <w:szCs w:val="32"/>
        </w:rPr>
        <w:t>收获</w:t>
      </w:r>
      <w:r>
        <w:rPr>
          <w:rFonts w:ascii="Times New Roman" w:hAnsi="Times New Roman" w:eastAsia="方正公文仿宋" w:cs="Times New Roman"/>
          <w:b/>
          <w:spacing w:val="10"/>
          <w:kern w:val="0"/>
          <w:sz w:val="32"/>
          <w:szCs w:val="32"/>
        </w:rPr>
        <w:t>期</w:t>
      </w:r>
      <w:r>
        <w:rPr>
          <w:rFonts w:ascii="Times New Roman" w:hAnsi="Times New Roman" w:eastAsia="方正公文仿宋" w:cs="Times New Roman"/>
          <w:spacing w:val="10"/>
          <w:kern w:val="0"/>
          <w:sz w:val="32"/>
          <w:szCs w:val="32"/>
        </w:rPr>
        <w:t>，蔬菜基地要求核心区净面积在</w:t>
      </w:r>
      <w:r>
        <w:rPr>
          <w:rFonts w:hint="eastAsia" w:ascii="Times New Roman" w:hAnsi="Times New Roman" w:eastAsia="方正公文仿宋" w:cs="Times New Roman"/>
          <w:spacing w:val="10"/>
          <w:kern w:val="0"/>
          <w:sz w:val="32"/>
          <w:szCs w:val="32"/>
        </w:rPr>
        <w:t>5</w:t>
      </w:r>
      <w:r>
        <w:rPr>
          <w:rFonts w:ascii="Times New Roman" w:hAnsi="Times New Roman" w:eastAsia="方正公文仿宋" w:cs="Times New Roman"/>
          <w:spacing w:val="10"/>
          <w:kern w:val="0"/>
          <w:sz w:val="32"/>
          <w:szCs w:val="32"/>
        </w:rPr>
        <w:t>0亩以上，果品、茶叶等基地要求核心区净面积在</w:t>
      </w:r>
      <w:r>
        <w:rPr>
          <w:rFonts w:hint="eastAsia" w:ascii="Times New Roman" w:hAnsi="Times New Roman" w:eastAsia="方正公文仿宋" w:cs="Times New Roman"/>
          <w:spacing w:val="10"/>
          <w:kern w:val="0"/>
          <w:sz w:val="32"/>
          <w:szCs w:val="32"/>
        </w:rPr>
        <w:t>1</w:t>
      </w:r>
      <w:r>
        <w:rPr>
          <w:rFonts w:ascii="Times New Roman" w:hAnsi="Times New Roman" w:eastAsia="方正公文仿宋" w:cs="Times New Roman"/>
          <w:spacing w:val="10"/>
          <w:kern w:val="0"/>
          <w:sz w:val="32"/>
          <w:szCs w:val="32"/>
        </w:rPr>
        <w:t>00亩以上。取得绿色食品或有机产品认证等相关认证的单位优先考虑。</w:t>
      </w:r>
      <w:r>
        <w:rPr>
          <w:rFonts w:hint="eastAsia" w:ascii="Times New Roman" w:hAnsi="Times New Roman" w:eastAsia="方正公文仿宋" w:cs="Times New Roman"/>
          <w:spacing w:val="10"/>
          <w:kern w:val="0"/>
          <w:sz w:val="32"/>
          <w:szCs w:val="32"/>
        </w:rPr>
        <w:t>2022年以前（含2022年）实施绿色防控项目成效较好的单位可视情况再次申报。</w:t>
      </w:r>
    </w:p>
    <w:p>
      <w:pPr>
        <w:adjustRightInd w:val="0"/>
        <w:snapToGrid w:val="0"/>
        <w:spacing w:line="590" w:lineRule="exact"/>
        <w:ind w:firstLine="680" w:firstLineChars="200"/>
        <w:rPr>
          <w:rFonts w:ascii="Times New Roman" w:hAnsi="Times New Roman" w:eastAsia="方正公文黑体" w:cs="Times New Roman"/>
          <w:spacing w:val="10"/>
          <w:sz w:val="32"/>
          <w:szCs w:val="32"/>
        </w:rPr>
      </w:pPr>
      <w:r>
        <w:rPr>
          <w:rFonts w:hint="eastAsia" w:ascii="Times New Roman" w:hAnsi="Times New Roman" w:eastAsia="方正公文黑体" w:cs="Times New Roman"/>
          <w:spacing w:val="10"/>
          <w:sz w:val="32"/>
          <w:szCs w:val="32"/>
        </w:rPr>
        <w:t>二</w:t>
      </w:r>
      <w:r>
        <w:rPr>
          <w:rFonts w:ascii="Times New Roman" w:hAnsi="Times New Roman" w:eastAsia="方正公文黑体" w:cs="Times New Roman"/>
          <w:spacing w:val="10"/>
          <w:sz w:val="32"/>
          <w:szCs w:val="32"/>
        </w:rPr>
        <w:t>、申报资格审查</w:t>
      </w:r>
    </w:p>
    <w:p>
      <w:pPr>
        <w:adjustRightInd w:val="0"/>
        <w:snapToGrid w:val="0"/>
        <w:spacing w:line="590" w:lineRule="exact"/>
        <w:ind w:firstLine="680" w:firstLineChars="200"/>
        <w:rPr>
          <w:rFonts w:ascii="Times New Roman" w:hAnsi="Times New Roman" w:eastAsia="方正公文仿宋" w:cs="Times New Roman"/>
          <w:spacing w:val="10"/>
          <w:sz w:val="32"/>
          <w:szCs w:val="32"/>
        </w:rPr>
      </w:pPr>
      <w:r>
        <w:rPr>
          <w:rFonts w:hint="eastAsia" w:ascii="Times New Roman" w:hAnsi="Times New Roman" w:eastAsia="方正公文仿宋" w:cs="Times New Roman"/>
          <w:spacing w:val="10"/>
          <w:sz w:val="32"/>
          <w:szCs w:val="32"/>
        </w:rPr>
        <w:t>各镇街要加强项目单位的用地、信用和安全等资质审核，避免项目多头、重复甚至“带病”申报，确保项目实施基础扎实、条件充分。</w:t>
      </w:r>
    </w:p>
    <w:p>
      <w:pPr>
        <w:adjustRightInd w:val="0"/>
        <w:snapToGrid w:val="0"/>
        <w:spacing w:line="590" w:lineRule="exact"/>
        <w:ind w:firstLine="680" w:firstLineChars="200"/>
        <w:rPr>
          <w:rFonts w:ascii="Times New Roman" w:hAnsi="Times New Roman" w:eastAsia="方正公文仿宋" w:cs="Times New Roman"/>
          <w:spacing w:val="10"/>
          <w:sz w:val="32"/>
          <w:szCs w:val="32"/>
        </w:rPr>
      </w:pPr>
      <w:r>
        <w:rPr>
          <w:rFonts w:hint="eastAsia" w:ascii="Times New Roman" w:hAnsi="Times New Roman" w:eastAsia="方正公文仿宋" w:cs="Times New Roman"/>
          <w:spacing w:val="10"/>
          <w:sz w:val="32"/>
          <w:szCs w:val="32"/>
        </w:rPr>
        <w:t>（一）</w:t>
      </w:r>
      <w:r>
        <w:rPr>
          <w:rFonts w:ascii="Times New Roman" w:hAnsi="Times New Roman" w:eastAsia="方正公文仿宋" w:cs="Times New Roman"/>
          <w:spacing w:val="10"/>
          <w:sz w:val="32"/>
          <w:szCs w:val="32"/>
        </w:rPr>
        <w:t>项目实施地点应符合土地利用总体规划及相关要求，具备项目实施的土地条件（</w:t>
      </w:r>
      <w:r>
        <w:rPr>
          <w:rFonts w:ascii="Times New Roman" w:hAnsi="Times New Roman" w:eastAsia="方正公文仿宋" w:cs="Times New Roman"/>
          <w:b/>
          <w:spacing w:val="10"/>
          <w:sz w:val="32"/>
          <w:szCs w:val="32"/>
        </w:rPr>
        <w:t>本条林地含规资和林保林地）</w:t>
      </w:r>
      <w:r>
        <w:rPr>
          <w:rFonts w:hint="eastAsia" w:ascii="Times New Roman" w:hAnsi="Times New Roman" w:eastAsia="方正公文仿宋" w:cs="Times New Roman"/>
          <w:spacing w:val="10"/>
          <w:sz w:val="32"/>
          <w:szCs w:val="32"/>
        </w:rPr>
        <w:t>。</w:t>
      </w:r>
    </w:p>
    <w:p>
      <w:pPr>
        <w:adjustRightInd w:val="0"/>
        <w:snapToGrid w:val="0"/>
        <w:spacing w:line="590" w:lineRule="exact"/>
        <w:ind w:firstLine="680" w:firstLineChars="200"/>
        <w:rPr>
          <w:rFonts w:hint="eastAsia" w:ascii="Times New Roman" w:hAnsi="Times New Roman" w:eastAsia="方正公文仿宋" w:cs="Times New Roman"/>
          <w:spacing w:val="10"/>
          <w:sz w:val="32"/>
          <w:szCs w:val="32"/>
        </w:rPr>
      </w:pPr>
      <w:r>
        <w:rPr>
          <w:rFonts w:hint="eastAsia" w:ascii="Times New Roman" w:hAnsi="Times New Roman" w:eastAsia="方正公文仿宋" w:cs="Times New Roman"/>
          <w:b/>
          <w:spacing w:val="10"/>
          <w:sz w:val="32"/>
          <w:szCs w:val="32"/>
        </w:rPr>
        <w:t>1．标准化菜地项目：</w:t>
      </w:r>
      <w:r>
        <w:rPr>
          <w:rFonts w:ascii="Times New Roman" w:hAnsi="Times New Roman" w:eastAsia="方正公文仿宋" w:cs="Times New Roman"/>
          <w:spacing w:val="10"/>
          <w:sz w:val="32"/>
          <w:szCs w:val="32"/>
        </w:rPr>
        <w:t>项目区地类性质原则上为一般耕地、非林地、非湿地及非生态红线范围；若地类性质为基本农田，现状必须为蔬菜生产种植基地，同时沟渠路等地面构筑设施不占用基本农田、耕地及林地。占用基本农田的要根据规资部门要求办理相关手续。</w:t>
      </w:r>
    </w:p>
    <w:p>
      <w:pPr>
        <w:adjustRightInd w:val="0"/>
        <w:snapToGrid w:val="0"/>
        <w:spacing w:line="590" w:lineRule="exact"/>
        <w:ind w:firstLine="680" w:firstLineChars="200"/>
        <w:rPr>
          <w:rFonts w:ascii="Times New Roman" w:hAnsi="Times New Roman" w:eastAsia="方正公文仿宋" w:cs="Times New Roman"/>
          <w:spacing w:val="10"/>
          <w:sz w:val="32"/>
          <w:szCs w:val="32"/>
        </w:rPr>
      </w:pPr>
      <w:r>
        <w:rPr>
          <w:rFonts w:hint="eastAsia" w:ascii="Times New Roman" w:hAnsi="Times New Roman" w:eastAsia="方正公文仿宋" w:cs="Times New Roman"/>
          <w:b/>
          <w:spacing w:val="10"/>
          <w:sz w:val="32"/>
          <w:szCs w:val="32"/>
        </w:rPr>
        <w:t>2.</w:t>
      </w:r>
      <w:r>
        <w:rPr>
          <w:rFonts w:ascii="Times New Roman" w:hAnsi="Times New Roman" w:eastAsia="方正公文仿宋" w:cs="Times New Roman"/>
          <w:b/>
          <w:spacing w:val="10"/>
          <w:sz w:val="32"/>
          <w:szCs w:val="32"/>
        </w:rPr>
        <w:t>设施蔬菜园艺项目</w:t>
      </w:r>
      <w:r>
        <w:rPr>
          <w:rFonts w:hint="eastAsia" w:ascii="Times New Roman" w:hAnsi="Times New Roman" w:eastAsia="方正公文仿宋" w:cs="Times New Roman"/>
          <w:b/>
          <w:spacing w:val="10"/>
          <w:sz w:val="32"/>
          <w:szCs w:val="32"/>
        </w:rPr>
        <w:t>：</w:t>
      </w:r>
      <w:r>
        <w:rPr>
          <w:rFonts w:ascii="Times New Roman" w:hAnsi="Times New Roman" w:eastAsia="方正公文仿宋" w:cs="Times New Roman"/>
          <w:spacing w:val="10"/>
          <w:sz w:val="32"/>
          <w:szCs w:val="32"/>
        </w:rPr>
        <w:t>项目区地类性质原则上为非基本农田、非湿地及非生态红线范围；林地只可</w:t>
      </w:r>
      <w:r>
        <w:rPr>
          <w:rFonts w:hint="eastAsia" w:ascii="Times New Roman" w:hAnsi="Times New Roman" w:eastAsia="方正公文仿宋" w:cs="Times New Roman"/>
          <w:spacing w:val="10"/>
          <w:sz w:val="32"/>
          <w:szCs w:val="32"/>
        </w:rPr>
        <w:t>申报</w:t>
      </w:r>
      <w:r>
        <w:rPr>
          <w:rFonts w:ascii="Times New Roman" w:hAnsi="Times New Roman" w:eastAsia="方正公文仿宋" w:cs="Times New Roman"/>
          <w:spacing w:val="10"/>
          <w:sz w:val="32"/>
          <w:szCs w:val="32"/>
        </w:rPr>
        <w:t>防鸟网、喷滴灌，且不可有硬质化设施；若地类性质为</w:t>
      </w:r>
      <w:r>
        <w:rPr>
          <w:rFonts w:hint="eastAsia" w:ascii="Times New Roman" w:hAnsi="Times New Roman" w:eastAsia="方正公文仿宋" w:cs="Times New Roman"/>
          <w:spacing w:val="10"/>
          <w:sz w:val="32"/>
          <w:szCs w:val="32"/>
        </w:rPr>
        <w:t>耕地</w:t>
      </w:r>
      <w:r>
        <w:rPr>
          <w:rFonts w:ascii="Times New Roman" w:hAnsi="Times New Roman" w:eastAsia="方正公文仿宋" w:cs="Times New Roman"/>
          <w:spacing w:val="10"/>
          <w:sz w:val="32"/>
          <w:szCs w:val="32"/>
        </w:rPr>
        <w:t>，现状</w:t>
      </w:r>
      <w:r>
        <w:rPr>
          <w:rFonts w:hint="eastAsia" w:ascii="Times New Roman" w:hAnsi="Times New Roman" w:eastAsia="方正公文仿宋" w:cs="Times New Roman"/>
          <w:spacing w:val="10"/>
          <w:sz w:val="32"/>
          <w:szCs w:val="32"/>
        </w:rPr>
        <w:t>原则</w:t>
      </w:r>
      <w:r>
        <w:rPr>
          <w:rFonts w:ascii="Times New Roman" w:hAnsi="Times New Roman" w:eastAsia="方正公文仿宋" w:cs="Times New Roman"/>
          <w:spacing w:val="10"/>
          <w:sz w:val="32"/>
          <w:szCs w:val="32"/>
        </w:rPr>
        <w:t>上为蔬菜生产种植基地，如果不是蔬菜生产种植基地，</w:t>
      </w:r>
      <w:r>
        <w:rPr>
          <w:rFonts w:hint="eastAsia" w:ascii="Times New Roman" w:hAnsi="Times New Roman" w:eastAsia="方正公文仿宋" w:cs="Times New Roman"/>
          <w:spacing w:val="10"/>
          <w:sz w:val="32"/>
          <w:szCs w:val="32"/>
        </w:rPr>
        <w:t>每年至少有一季种植粮食作物</w:t>
      </w:r>
      <w:r>
        <w:rPr>
          <w:rFonts w:ascii="Times New Roman" w:hAnsi="Times New Roman" w:eastAsia="方正公文仿宋" w:cs="Times New Roman"/>
          <w:spacing w:val="10"/>
          <w:sz w:val="32"/>
          <w:szCs w:val="32"/>
        </w:rPr>
        <w:t>；项目建设若为砖混结构、玻璃温室的</w:t>
      </w:r>
      <w:r>
        <w:rPr>
          <w:rFonts w:hint="eastAsia" w:ascii="Times New Roman" w:hAnsi="Times New Roman" w:eastAsia="方正公文仿宋" w:cs="Times New Roman"/>
          <w:spacing w:val="10"/>
          <w:sz w:val="32"/>
          <w:szCs w:val="32"/>
        </w:rPr>
        <w:t>须</w:t>
      </w:r>
      <w:r>
        <w:rPr>
          <w:rFonts w:ascii="Times New Roman" w:hAnsi="Times New Roman" w:eastAsia="方正公文仿宋" w:cs="Times New Roman"/>
          <w:spacing w:val="10"/>
          <w:sz w:val="32"/>
          <w:szCs w:val="32"/>
        </w:rPr>
        <w:t>办理设施农用地备案手续。</w:t>
      </w:r>
    </w:p>
    <w:p>
      <w:pPr>
        <w:adjustRightInd w:val="0"/>
        <w:snapToGrid w:val="0"/>
        <w:spacing w:line="590" w:lineRule="exact"/>
        <w:ind w:firstLine="680" w:firstLineChars="200"/>
        <w:rPr>
          <w:rFonts w:ascii="Times New Roman" w:hAnsi="Times New Roman" w:eastAsia="方正公文仿宋" w:cs="Times New Roman"/>
          <w:spacing w:val="10"/>
          <w:sz w:val="32"/>
          <w:szCs w:val="32"/>
        </w:rPr>
      </w:pPr>
      <w:r>
        <w:rPr>
          <w:rFonts w:hint="eastAsia" w:ascii="Times New Roman" w:hAnsi="Times New Roman" w:eastAsia="方正公文仿宋" w:cs="Times New Roman"/>
          <w:b/>
          <w:spacing w:val="10"/>
          <w:sz w:val="32"/>
          <w:szCs w:val="32"/>
        </w:rPr>
        <w:t>3.高效特色园艺基地项目：</w:t>
      </w:r>
      <w:r>
        <w:rPr>
          <w:rFonts w:ascii="Times New Roman" w:hAnsi="Times New Roman" w:eastAsia="方正公文仿宋" w:cs="Times New Roman"/>
          <w:spacing w:val="10"/>
          <w:sz w:val="32"/>
          <w:szCs w:val="32"/>
        </w:rPr>
        <w:t>项目区地类性质原则上为非耕地、非湿地及非生态红线范围；沟渠路等地面构筑设施不占用基本农田、耕地及林地。占用基本农田的要根据规资部门要求办理相关手续。</w:t>
      </w:r>
    </w:p>
    <w:p>
      <w:pPr>
        <w:adjustRightInd w:val="0"/>
        <w:snapToGrid w:val="0"/>
        <w:spacing w:line="590" w:lineRule="exact"/>
        <w:ind w:firstLine="680" w:firstLineChars="200"/>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spacing w:val="10"/>
          <w:sz w:val="32"/>
          <w:szCs w:val="32"/>
        </w:rPr>
        <w:t>（二）</w:t>
      </w:r>
      <w:r>
        <w:rPr>
          <w:rFonts w:ascii="Times New Roman" w:hAnsi="Times New Roman" w:eastAsia="方正公文仿宋" w:cs="Times New Roman"/>
          <w:bCs/>
          <w:spacing w:val="10"/>
          <w:sz w:val="32"/>
          <w:szCs w:val="32"/>
        </w:rPr>
        <w:t>项目须为当年新建项目（上年同类型项目申报结束后开工的项目视为当年新建）。</w:t>
      </w:r>
    </w:p>
    <w:p>
      <w:pPr>
        <w:adjustRightInd w:val="0"/>
        <w:snapToGrid w:val="0"/>
        <w:spacing w:line="590" w:lineRule="exact"/>
        <w:ind w:firstLine="680" w:firstLineChars="200"/>
        <w:rPr>
          <w:rFonts w:ascii="Times New Roman" w:hAnsi="Times New Roman" w:eastAsia="方正公文仿宋" w:cs="Times New Roman"/>
          <w:spacing w:val="10"/>
          <w:sz w:val="32"/>
          <w:szCs w:val="32"/>
        </w:rPr>
      </w:pPr>
      <w:r>
        <w:rPr>
          <w:rFonts w:ascii="Times New Roman" w:hAnsi="Times New Roman" w:eastAsia="方正公文仿宋" w:cs="Times New Roman"/>
          <w:bCs/>
          <w:spacing w:val="10"/>
          <w:sz w:val="32"/>
          <w:szCs w:val="32"/>
        </w:rPr>
        <w:t>（三）凡三年内</w:t>
      </w:r>
      <w:r>
        <w:rPr>
          <w:rFonts w:ascii="Times New Roman" w:hAnsi="Times New Roman" w:eastAsia="方正公文仿宋" w:cs="Times New Roman"/>
          <w:spacing w:val="10"/>
          <w:sz w:val="32"/>
          <w:szCs w:val="32"/>
        </w:rPr>
        <w:t>，项目验收未通过、项目审计及绩效评价通报较差的、有举报且已经查实存在重大问题、农产品质量抽检屡次不合格的项目单位不得</w:t>
      </w:r>
      <w:r>
        <w:rPr>
          <w:rFonts w:hint="eastAsia" w:ascii="Times New Roman" w:hAnsi="Times New Roman" w:eastAsia="方正公文仿宋" w:cs="Times New Roman"/>
          <w:spacing w:val="10"/>
          <w:sz w:val="32"/>
          <w:szCs w:val="32"/>
        </w:rPr>
        <w:t>申报</w:t>
      </w:r>
      <w:r>
        <w:rPr>
          <w:rFonts w:ascii="Times New Roman" w:hAnsi="Times New Roman" w:eastAsia="方正公文仿宋" w:cs="Times New Roman"/>
          <w:spacing w:val="10"/>
          <w:sz w:val="32"/>
          <w:szCs w:val="32"/>
        </w:rPr>
        <w:t>。</w:t>
      </w:r>
    </w:p>
    <w:p>
      <w:pPr>
        <w:adjustRightInd w:val="0"/>
        <w:snapToGrid w:val="0"/>
        <w:spacing w:line="590" w:lineRule="exact"/>
        <w:ind w:firstLine="680" w:firstLineChars="200"/>
        <w:rPr>
          <w:rFonts w:ascii="Times New Roman" w:hAnsi="Times New Roman" w:eastAsia="方正公文仿宋" w:cs="Times New Roman"/>
          <w:spacing w:val="10"/>
          <w:sz w:val="32"/>
          <w:szCs w:val="32"/>
        </w:rPr>
      </w:pPr>
      <w:r>
        <w:rPr>
          <w:rFonts w:hint="eastAsia" w:ascii="Times New Roman" w:hAnsi="Times New Roman" w:eastAsia="方正公文仿宋" w:cs="Times New Roman"/>
          <w:spacing w:val="10"/>
          <w:sz w:val="32"/>
          <w:szCs w:val="32"/>
        </w:rPr>
        <w:t>（四）享受过财政农业资金扶持的同一类项目，申报地块和建设内容不得与中央、省、市其他项目建设内容重复。</w:t>
      </w:r>
      <w:r>
        <w:rPr>
          <w:rFonts w:ascii="Times New Roman" w:hAnsi="Times New Roman" w:eastAsia="方正公文仿宋" w:cs="Times New Roman"/>
          <w:spacing w:val="10"/>
          <w:sz w:val="32"/>
          <w:szCs w:val="32"/>
        </w:rPr>
        <w:t>同一申报主体当年度不得申报多个同类项目。</w:t>
      </w:r>
    </w:p>
    <w:p>
      <w:pPr>
        <w:pStyle w:val="13"/>
        <w:spacing w:line="590" w:lineRule="exact"/>
        <w:ind w:firstLine="680"/>
        <w:jc w:val="left"/>
        <w:rPr>
          <w:rFonts w:ascii="Times New Roman" w:hAnsi="Times New Roman" w:eastAsia="方正公文黑体"/>
          <w:spacing w:val="10"/>
          <w:sz w:val="32"/>
          <w:szCs w:val="32"/>
        </w:rPr>
      </w:pPr>
      <w:r>
        <w:rPr>
          <w:rFonts w:ascii="Times New Roman" w:hAnsi="Times New Roman" w:eastAsia="方正公文黑体"/>
          <w:spacing w:val="10"/>
          <w:sz w:val="32"/>
          <w:szCs w:val="32"/>
        </w:rPr>
        <w:t>三、建设标准</w:t>
      </w:r>
    </w:p>
    <w:p>
      <w:pPr>
        <w:pStyle w:val="13"/>
        <w:spacing w:line="590" w:lineRule="exact"/>
        <w:ind w:firstLine="680"/>
        <w:rPr>
          <w:rFonts w:ascii="Times New Roman" w:hAnsi="Times New Roman" w:eastAsia="方正公文仿宋"/>
          <w:spacing w:val="10"/>
          <w:sz w:val="32"/>
          <w:szCs w:val="32"/>
        </w:rPr>
      </w:pPr>
      <w:r>
        <w:rPr>
          <w:rFonts w:ascii="Times New Roman" w:hAnsi="Times New Roman" w:eastAsia="方正公文仿宋"/>
          <w:spacing w:val="10"/>
          <w:sz w:val="32"/>
          <w:szCs w:val="32"/>
        </w:rPr>
        <w:t>要结合各镇街产业发展规划，统筹考虑产业基础、现状和项目载体等情况，依据相关标准，因地制宜做好工程类项目设计。标准化菜地项目建设以实现“渠相通、路相连、旱能灌、涝能排、渍能降、机能进、土肥沃、高产出”为目标，在充分结合项目实施地点现状的基础上，项目工程设计主要依据以下标准/规范：</w:t>
      </w:r>
    </w:p>
    <w:p>
      <w:pPr>
        <w:pStyle w:val="13"/>
        <w:spacing w:line="590" w:lineRule="exact"/>
        <w:ind w:firstLine="680"/>
        <w:rPr>
          <w:rFonts w:ascii="Times New Roman" w:hAnsi="Times New Roman" w:eastAsia="方正公文仿宋"/>
          <w:spacing w:val="10"/>
          <w:sz w:val="32"/>
          <w:szCs w:val="32"/>
        </w:rPr>
      </w:pPr>
      <w:r>
        <w:rPr>
          <w:rFonts w:ascii="Times New Roman" w:hAnsi="Times New Roman" w:eastAsia="方正公文仿宋"/>
          <w:spacing w:val="10"/>
          <w:sz w:val="32"/>
          <w:szCs w:val="32"/>
        </w:rPr>
        <w:t>《灌溉与排水工程设计规范》（GB/50288-2018）</w:t>
      </w:r>
    </w:p>
    <w:p>
      <w:pPr>
        <w:pStyle w:val="13"/>
        <w:spacing w:line="590" w:lineRule="exact"/>
        <w:ind w:firstLine="680"/>
        <w:rPr>
          <w:rFonts w:ascii="Times New Roman" w:hAnsi="Times New Roman" w:eastAsia="方正公文仿宋"/>
          <w:spacing w:val="10"/>
          <w:sz w:val="32"/>
          <w:szCs w:val="32"/>
        </w:rPr>
      </w:pPr>
      <w:r>
        <w:rPr>
          <w:rFonts w:ascii="Times New Roman" w:hAnsi="Times New Roman" w:eastAsia="方正公文仿宋"/>
          <w:spacing w:val="10"/>
          <w:sz w:val="32"/>
          <w:szCs w:val="32"/>
        </w:rPr>
        <w:t>《水利工程水利计算规范》（SL104-2015）</w:t>
      </w:r>
    </w:p>
    <w:p>
      <w:pPr>
        <w:pStyle w:val="13"/>
        <w:spacing w:line="590" w:lineRule="exact"/>
        <w:ind w:firstLine="680"/>
        <w:rPr>
          <w:rFonts w:ascii="Times New Roman" w:hAnsi="Times New Roman" w:eastAsia="方正公文仿宋"/>
          <w:spacing w:val="10"/>
          <w:sz w:val="32"/>
          <w:szCs w:val="32"/>
        </w:rPr>
      </w:pPr>
      <w:r>
        <w:rPr>
          <w:rFonts w:ascii="Times New Roman" w:hAnsi="Times New Roman" w:eastAsia="方正公文仿宋"/>
          <w:spacing w:val="10"/>
          <w:sz w:val="32"/>
          <w:szCs w:val="32"/>
        </w:rPr>
        <w:t>《农田排水工程技术规范》（SL/T4-2020）</w:t>
      </w:r>
    </w:p>
    <w:p>
      <w:pPr>
        <w:pStyle w:val="13"/>
        <w:spacing w:line="590" w:lineRule="exact"/>
        <w:ind w:firstLine="680"/>
        <w:rPr>
          <w:rFonts w:ascii="Times New Roman" w:hAnsi="Times New Roman" w:eastAsia="方正公文仿宋"/>
          <w:spacing w:val="10"/>
          <w:sz w:val="32"/>
          <w:szCs w:val="32"/>
        </w:rPr>
      </w:pPr>
      <w:r>
        <w:rPr>
          <w:rFonts w:ascii="Times New Roman" w:hAnsi="Times New Roman" w:eastAsia="方正公文仿宋"/>
          <w:spacing w:val="10"/>
          <w:sz w:val="32"/>
          <w:szCs w:val="32"/>
        </w:rPr>
        <w:t>《水工</w:t>
      </w:r>
      <w:r>
        <w:rPr>
          <w:rFonts w:hint="eastAsia" w:ascii="Times New Roman" w:hAnsi="Times New Roman" w:eastAsia="方正公文仿宋"/>
          <w:spacing w:val="10"/>
          <w:sz w:val="32"/>
          <w:szCs w:val="32"/>
          <w:lang w:eastAsia="zh-CN"/>
        </w:rPr>
        <w:t>混凝土</w:t>
      </w:r>
      <w:r>
        <w:rPr>
          <w:rFonts w:ascii="Times New Roman" w:hAnsi="Times New Roman" w:eastAsia="方正公文仿宋"/>
          <w:spacing w:val="10"/>
          <w:sz w:val="32"/>
          <w:szCs w:val="32"/>
        </w:rPr>
        <w:t>结构设计规范》(SL191-2008)</w:t>
      </w:r>
    </w:p>
    <w:p>
      <w:pPr>
        <w:pStyle w:val="13"/>
        <w:spacing w:line="590" w:lineRule="exact"/>
        <w:ind w:firstLine="680"/>
        <w:rPr>
          <w:rFonts w:ascii="Times New Roman" w:hAnsi="Times New Roman" w:eastAsia="方正公文仿宋"/>
          <w:spacing w:val="10"/>
          <w:sz w:val="32"/>
          <w:szCs w:val="32"/>
        </w:rPr>
      </w:pPr>
      <w:r>
        <w:rPr>
          <w:rFonts w:ascii="Times New Roman" w:hAnsi="Times New Roman" w:eastAsia="方正公文仿宋"/>
          <w:spacing w:val="10"/>
          <w:sz w:val="32"/>
          <w:szCs w:val="32"/>
        </w:rPr>
        <w:t>《灌溉与排水渠系建筑物设计规范》（SL482-2011）</w:t>
      </w:r>
    </w:p>
    <w:p>
      <w:pPr>
        <w:pStyle w:val="13"/>
        <w:spacing w:line="590" w:lineRule="exact"/>
        <w:ind w:firstLine="680"/>
        <w:rPr>
          <w:rFonts w:ascii="Times New Roman" w:hAnsi="Times New Roman" w:eastAsia="方正公文仿宋"/>
          <w:spacing w:val="10"/>
          <w:sz w:val="32"/>
          <w:szCs w:val="32"/>
        </w:rPr>
      </w:pPr>
      <w:r>
        <w:rPr>
          <w:rFonts w:ascii="Times New Roman" w:hAnsi="Times New Roman" w:eastAsia="方正公文仿宋"/>
          <w:spacing w:val="10"/>
          <w:sz w:val="32"/>
          <w:szCs w:val="32"/>
        </w:rPr>
        <w:t>《农田灌溉水质标准》(GB5048-2021)</w:t>
      </w:r>
    </w:p>
    <w:p>
      <w:pPr>
        <w:pStyle w:val="13"/>
        <w:spacing w:line="590" w:lineRule="exact"/>
        <w:ind w:firstLine="680"/>
        <w:rPr>
          <w:rFonts w:ascii="Times New Roman" w:hAnsi="Times New Roman" w:eastAsia="方正公文仿宋"/>
          <w:spacing w:val="10"/>
          <w:sz w:val="32"/>
          <w:szCs w:val="32"/>
        </w:rPr>
      </w:pPr>
      <w:r>
        <w:rPr>
          <w:rFonts w:ascii="Times New Roman" w:hAnsi="Times New Roman" w:eastAsia="方正公文仿宋"/>
          <w:spacing w:val="10"/>
          <w:sz w:val="32"/>
          <w:szCs w:val="32"/>
        </w:rPr>
        <w:t>《节水灌溉工程技术规范》（GB/T 50363-2018）</w:t>
      </w:r>
    </w:p>
    <w:p>
      <w:pPr>
        <w:pStyle w:val="13"/>
        <w:spacing w:line="590" w:lineRule="exact"/>
        <w:ind w:firstLine="680"/>
        <w:rPr>
          <w:rFonts w:ascii="Times New Roman" w:hAnsi="Times New Roman" w:eastAsia="方正公文仿宋"/>
          <w:spacing w:val="10"/>
          <w:sz w:val="32"/>
          <w:szCs w:val="32"/>
        </w:rPr>
      </w:pPr>
      <w:r>
        <w:rPr>
          <w:rFonts w:ascii="Times New Roman" w:hAnsi="Times New Roman" w:eastAsia="方正公文仿宋"/>
          <w:spacing w:val="10"/>
          <w:sz w:val="32"/>
          <w:szCs w:val="32"/>
        </w:rPr>
        <w:t>《微灌工程技术标准》（GB/T50485-2020）</w:t>
      </w:r>
    </w:p>
    <w:p>
      <w:pPr>
        <w:pStyle w:val="13"/>
        <w:spacing w:line="590" w:lineRule="exact"/>
        <w:ind w:firstLine="680"/>
        <w:rPr>
          <w:rFonts w:ascii="Times New Roman" w:hAnsi="Times New Roman" w:eastAsia="方正公文仿宋"/>
          <w:spacing w:val="10"/>
          <w:sz w:val="32"/>
          <w:szCs w:val="32"/>
        </w:rPr>
      </w:pPr>
      <w:r>
        <w:rPr>
          <w:rFonts w:ascii="Times New Roman" w:hAnsi="Times New Roman" w:eastAsia="方正公文仿宋"/>
          <w:spacing w:val="10"/>
          <w:sz w:val="32"/>
          <w:szCs w:val="32"/>
        </w:rPr>
        <w:t>《渠道防渗衬砌工程技术标准》(GB/T50600-2020)</w:t>
      </w:r>
    </w:p>
    <w:p>
      <w:pPr>
        <w:pStyle w:val="13"/>
        <w:spacing w:line="590" w:lineRule="exact"/>
        <w:ind w:firstLine="680"/>
        <w:rPr>
          <w:rFonts w:ascii="Times New Roman" w:hAnsi="Times New Roman" w:eastAsia="方正公文仿宋"/>
          <w:spacing w:val="10"/>
          <w:sz w:val="32"/>
          <w:szCs w:val="32"/>
        </w:rPr>
      </w:pPr>
      <w:r>
        <w:rPr>
          <w:rFonts w:ascii="Times New Roman" w:hAnsi="Times New Roman" w:eastAsia="方正公文仿宋"/>
          <w:spacing w:val="10"/>
          <w:sz w:val="32"/>
          <w:szCs w:val="32"/>
        </w:rPr>
        <w:t>《公路桥涵设计通用规范》（JTGD60-2015）</w:t>
      </w:r>
    </w:p>
    <w:p>
      <w:pPr>
        <w:pStyle w:val="13"/>
        <w:spacing w:line="590" w:lineRule="exact"/>
        <w:ind w:firstLine="680"/>
        <w:rPr>
          <w:rFonts w:ascii="Times New Roman" w:hAnsi="Times New Roman" w:eastAsia="方正公文仿宋"/>
          <w:spacing w:val="10"/>
          <w:sz w:val="32"/>
          <w:szCs w:val="32"/>
        </w:rPr>
      </w:pPr>
      <w:r>
        <w:rPr>
          <w:rFonts w:ascii="Times New Roman" w:hAnsi="Times New Roman" w:eastAsia="方正公文仿宋"/>
          <w:spacing w:val="10"/>
          <w:sz w:val="32"/>
          <w:szCs w:val="32"/>
        </w:rPr>
        <w:t>《灌溉与排水渠系建筑物设计规范》（SL482-2011）</w:t>
      </w:r>
    </w:p>
    <w:p>
      <w:pPr>
        <w:pStyle w:val="13"/>
        <w:spacing w:line="590" w:lineRule="exact"/>
        <w:ind w:firstLine="680"/>
        <w:rPr>
          <w:rFonts w:ascii="Times New Roman" w:hAnsi="Times New Roman" w:eastAsia="方正公文仿宋"/>
          <w:spacing w:val="10"/>
          <w:sz w:val="32"/>
          <w:szCs w:val="32"/>
        </w:rPr>
      </w:pPr>
      <w:r>
        <w:rPr>
          <w:rFonts w:ascii="Times New Roman" w:hAnsi="Times New Roman" w:eastAsia="方正公文仿宋"/>
          <w:spacing w:val="10"/>
          <w:sz w:val="32"/>
          <w:szCs w:val="32"/>
        </w:rPr>
        <w:t>《泵站设计规范》(GB50265-2022)</w:t>
      </w:r>
    </w:p>
    <w:p>
      <w:pPr>
        <w:pStyle w:val="13"/>
        <w:spacing w:line="590" w:lineRule="exact"/>
        <w:ind w:firstLine="680"/>
        <w:rPr>
          <w:rFonts w:ascii="Times New Roman" w:hAnsi="Times New Roman" w:eastAsia="方正公文仿宋"/>
          <w:spacing w:val="10"/>
          <w:sz w:val="32"/>
          <w:szCs w:val="32"/>
        </w:rPr>
      </w:pPr>
      <w:r>
        <w:rPr>
          <w:rFonts w:ascii="Times New Roman" w:hAnsi="Times New Roman" w:eastAsia="方正公文仿宋"/>
          <w:spacing w:val="10"/>
          <w:sz w:val="32"/>
          <w:szCs w:val="32"/>
        </w:rPr>
        <w:t>《农业机械田间行走道路技术规范》（NY/T2194-2012）</w:t>
      </w:r>
    </w:p>
    <w:p>
      <w:pPr>
        <w:pStyle w:val="13"/>
        <w:spacing w:line="590" w:lineRule="exact"/>
        <w:ind w:firstLine="680"/>
        <w:rPr>
          <w:rFonts w:ascii="Times New Roman" w:hAnsi="Times New Roman" w:eastAsia="方正公文仿宋"/>
          <w:spacing w:val="10"/>
          <w:sz w:val="32"/>
          <w:szCs w:val="32"/>
        </w:rPr>
      </w:pPr>
      <w:r>
        <w:rPr>
          <w:rFonts w:ascii="Times New Roman" w:hAnsi="Times New Roman" w:eastAsia="方正公文仿宋"/>
          <w:spacing w:val="10"/>
          <w:sz w:val="32"/>
          <w:szCs w:val="32"/>
        </w:rPr>
        <w:t>《冷库设计标准》(GB50072-2021)</w:t>
      </w:r>
    </w:p>
    <w:p>
      <w:pPr>
        <w:pStyle w:val="13"/>
        <w:spacing w:line="590" w:lineRule="exact"/>
        <w:ind w:firstLine="680"/>
        <w:rPr>
          <w:rFonts w:ascii="Times New Roman" w:hAnsi="Times New Roman" w:eastAsia="方正公文仿宋"/>
          <w:spacing w:val="10"/>
          <w:sz w:val="32"/>
          <w:szCs w:val="32"/>
        </w:rPr>
      </w:pPr>
      <w:r>
        <w:rPr>
          <w:rFonts w:ascii="Times New Roman" w:hAnsi="Times New Roman" w:eastAsia="方正公文仿宋"/>
          <w:spacing w:val="10"/>
          <w:sz w:val="32"/>
          <w:szCs w:val="32"/>
        </w:rPr>
        <w:t>此外，还应包括项目实施单位提供的项目区有关基础数据及相关合同要求等。</w:t>
      </w:r>
    </w:p>
    <w:p>
      <w:pPr>
        <w:pStyle w:val="13"/>
        <w:spacing w:line="590" w:lineRule="exact"/>
        <w:ind w:firstLine="680"/>
        <w:jc w:val="left"/>
        <w:rPr>
          <w:rFonts w:ascii="Times New Roman" w:hAnsi="Times New Roman" w:eastAsia="方正公文黑体"/>
          <w:spacing w:val="10"/>
          <w:sz w:val="32"/>
          <w:szCs w:val="32"/>
        </w:rPr>
      </w:pPr>
      <w:r>
        <w:rPr>
          <w:rFonts w:hint="eastAsia" w:ascii="Times New Roman" w:hAnsi="Times New Roman" w:eastAsia="方正公文黑体"/>
          <w:spacing w:val="10"/>
          <w:sz w:val="32"/>
          <w:szCs w:val="32"/>
        </w:rPr>
        <w:t>四</w:t>
      </w:r>
      <w:r>
        <w:rPr>
          <w:rFonts w:ascii="Times New Roman" w:hAnsi="Times New Roman" w:eastAsia="方正公文黑体"/>
          <w:spacing w:val="10"/>
          <w:sz w:val="32"/>
          <w:szCs w:val="32"/>
        </w:rPr>
        <w:t>、</w:t>
      </w:r>
      <w:r>
        <w:rPr>
          <w:rFonts w:hint="eastAsia" w:ascii="Times New Roman" w:hAnsi="Times New Roman" w:eastAsia="方正公文黑体"/>
          <w:spacing w:val="10"/>
          <w:sz w:val="32"/>
          <w:szCs w:val="32"/>
        </w:rPr>
        <w:t>申报</w:t>
      </w:r>
      <w:r>
        <w:rPr>
          <w:rFonts w:ascii="Times New Roman" w:hAnsi="Times New Roman" w:eastAsia="方正公文黑体"/>
          <w:spacing w:val="10"/>
          <w:sz w:val="32"/>
          <w:szCs w:val="32"/>
        </w:rPr>
        <w:t>材料和时间</w:t>
      </w:r>
    </w:p>
    <w:p>
      <w:pPr>
        <w:adjustRightInd w:val="0"/>
        <w:snapToGrid w:val="0"/>
        <w:spacing w:line="590" w:lineRule="exact"/>
        <w:ind w:firstLine="680" w:firstLineChars="200"/>
        <w:rPr>
          <w:rFonts w:ascii="Times New Roman" w:hAnsi="Times New Roman" w:eastAsia="方正公文仿宋" w:cs="Times New Roman"/>
          <w:spacing w:val="10"/>
          <w:sz w:val="32"/>
          <w:szCs w:val="32"/>
        </w:rPr>
      </w:pPr>
      <w:r>
        <w:rPr>
          <w:rFonts w:ascii="Times New Roman" w:hAnsi="Times New Roman" w:eastAsia="方正公文仿宋" w:cs="Times New Roman"/>
          <w:spacing w:val="10"/>
          <w:sz w:val="32"/>
          <w:szCs w:val="32"/>
        </w:rPr>
        <w:t>申报材料报至区农业农村局种植业管理科，</w:t>
      </w:r>
      <w:r>
        <w:rPr>
          <w:rFonts w:hint="eastAsia" w:ascii="Times New Roman" w:hAnsi="Times New Roman" w:eastAsia="方正公文仿宋" w:cs="Times New Roman"/>
          <w:spacing w:val="10"/>
          <w:sz w:val="32"/>
          <w:szCs w:val="32"/>
        </w:rPr>
        <w:t>项目申报表递交</w:t>
      </w:r>
      <w:r>
        <w:rPr>
          <w:rFonts w:ascii="Times New Roman" w:hAnsi="Times New Roman" w:eastAsia="方正公文仿宋" w:cs="Times New Roman"/>
          <w:spacing w:val="10"/>
          <w:sz w:val="32"/>
          <w:szCs w:val="32"/>
        </w:rPr>
        <w:t>截</w:t>
      </w:r>
      <w:r>
        <w:rPr>
          <w:rFonts w:hint="eastAsia" w:ascii="Times New Roman" w:hAnsi="Times New Roman" w:eastAsia="方正公文仿宋" w:cs="Times New Roman"/>
          <w:spacing w:val="10"/>
          <w:sz w:val="32"/>
          <w:szCs w:val="32"/>
          <w:lang w:val="en-US" w:eastAsia="zh-CN"/>
        </w:rPr>
        <w:t>止</w:t>
      </w:r>
      <w:r>
        <w:rPr>
          <w:rFonts w:ascii="Times New Roman" w:hAnsi="Times New Roman" w:eastAsia="方正公文仿宋" w:cs="Times New Roman"/>
          <w:spacing w:val="10"/>
          <w:sz w:val="32"/>
          <w:szCs w:val="32"/>
        </w:rPr>
        <w:t>日期：</w:t>
      </w:r>
      <w:r>
        <w:rPr>
          <w:rFonts w:hint="eastAsia" w:ascii="Times New Roman" w:hAnsi="Times New Roman" w:eastAsia="方正公文仿宋" w:cs="Times New Roman"/>
          <w:spacing w:val="10"/>
          <w:sz w:val="32"/>
          <w:szCs w:val="32"/>
        </w:rPr>
        <w:t>2025年4月30日。</w:t>
      </w:r>
    </w:p>
    <w:p>
      <w:pPr>
        <w:adjustRightInd w:val="0"/>
        <w:snapToGrid w:val="0"/>
        <w:spacing w:line="590" w:lineRule="exact"/>
        <w:ind w:firstLine="680" w:firstLineChars="200"/>
        <w:rPr>
          <w:rFonts w:ascii="Times New Roman" w:hAnsi="Times New Roman" w:eastAsia="方正公文仿宋" w:cs="Times New Roman"/>
          <w:spacing w:val="10"/>
          <w:sz w:val="32"/>
          <w:szCs w:val="32"/>
        </w:rPr>
      </w:pPr>
      <w:r>
        <w:rPr>
          <w:rFonts w:hint="eastAsia" w:ascii="Times New Roman" w:hAnsi="Times New Roman" w:eastAsia="方正公文仿宋" w:cs="Times New Roman"/>
          <w:spacing w:val="10"/>
          <w:sz w:val="32"/>
          <w:szCs w:val="32"/>
        </w:rPr>
        <w:t>区农业农村局联系人：</w:t>
      </w:r>
    </w:p>
    <w:p>
      <w:pPr>
        <w:adjustRightInd w:val="0"/>
        <w:snapToGrid w:val="0"/>
        <w:spacing w:line="590" w:lineRule="exact"/>
        <w:ind w:firstLine="680" w:firstLineChars="200"/>
        <w:rPr>
          <w:rFonts w:ascii="Times New Roman" w:hAnsi="Times New Roman" w:eastAsia="方正公文仿宋" w:cs="Times New Roman"/>
          <w:spacing w:val="10"/>
          <w:sz w:val="32"/>
          <w:szCs w:val="32"/>
        </w:rPr>
      </w:pPr>
      <w:r>
        <w:rPr>
          <w:rFonts w:hint="eastAsia" w:ascii="Times New Roman" w:hAnsi="Times New Roman" w:eastAsia="方正公文仿宋" w:cs="Times New Roman"/>
          <w:spacing w:val="10"/>
          <w:sz w:val="32"/>
          <w:szCs w:val="32"/>
        </w:rPr>
        <w:t>种植业管理科      程雅梅   57225476</w:t>
      </w:r>
    </w:p>
    <w:p>
      <w:pPr>
        <w:adjustRightInd w:val="0"/>
        <w:snapToGrid w:val="0"/>
        <w:spacing w:line="590" w:lineRule="exact"/>
        <w:ind w:firstLine="680" w:firstLineChars="200"/>
        <w:rPr>
          <w:rFonts w:ascii="Times New Roman" w:hAnsi="Times New Roman" w:eastAsia="方正公文仿宋" w:cs="Times New Roman"/>
          <w:spacing w:val="10"/>
          <w:sz w:val="32"/>
          <w:szCs w:val="32"/>
        </w:rPr>
      </w:pPr>
    </w:p>
    <w:p>
      <w:pPr>
        <w:adjustRightInd w:val="0"/>
        <w:snapToGrid w:val="0"/>
        <w:spacing w:line="590" w:lineRule="exact"/>
        <w:ind w:firstLine="680" w:firstLineChars="200"/>
        <w:rPr>
          <w:rFonts w:ascii="Times New Roman" w:hAnsi="Times New Roman" w:eastAsia="方正公文仿宋" w:cs="Times New Roman"/>
          <w:spacing w:val="10"/>
          <w:sz w:val="32"/>
          <w:szCs w:val="32"/>
        </w:rPr>
      </w:pPr>
      <w:r>
        <w:rPr>
          <w:rFonts w:hint="eastAsia" w:ascii="Times New Roman" w:eastAsia="方正公文仿宋"/>
          <w:spacing w:val="10"/>
          <w:sz w:val="32"/>
          <w:szCs w:val="32"/>
        </w:rPr>
        <w:t>附件：</w:t>
      </w:r>
      <w:r>
        <w:rPr>
          <w:rFonts w:hint="eastAsia" w:ascii="Times New Roman" w:hAnsi="Times New Roman" w:eastAsia="方正公文仿宋" w:cs="Times New Roman"/>
          <w:spacing w:val="10"/>
          <w:sz w:val="32"/>
          <w:szCs w:val="32"/>
        </w:rPr>
        <w:t>1.</w:t>
      </w:r>
      <w:r>
        <w:rPr>
          <w:rFonts w:ascii="Times New Roman" w:hAnsi="Times New Roman" w:eastAsia="方正公文仿宋" w:cs="Times New Roman"/>
          <w:spacing w:val="10"/>
          <w:sz w:val="32"/>
          <w:szCs w:val="32"/>
        </w:rPr>
        <w:t>设施蔬菜园艺项目扶持目录</w:t>
      </w:r>
    </w:p>
    <w:p>
      <w:pPr>
        <w:adjustRightInd w:val="0"/>
        <w:snapToGrid w:val="0"/>
        <w:spacing w:line="590" w:lineRule="exact"/>
        <w:ind w:firstLine="1700" w:firstLineChars="500"/>
        <w:rPr>
          <w:rFonts w:ascii="Times New Roman" w:hAnsi="Times New Roman" w:eastAsia="方正公文仿宋" w:cs="Times New Roman"/>
          <w:spacing w:val="10"/>
          <w:sz w:val="32"/>
          <w:szCs w:val="32"/>
        </w:rPr>
      </w:pPr>
      <w:r>
        <w:rPr>
          <w:rFonts w:hint="eastAsia" w:ascii="Times New Roman" w:hAnsi="Times New Roman" w:eastAsia="方正公文仿宋" w:cs="Times New Roman"/>
          <w:spacing w:val="10"/>
          <w:sz w:val="32"/>
          <w:szCs w:val="32"/>
        </w:rPr>
        <w:t>2.设施蔬菜园艺项目规模要求</w:t>
      </w:r>
    </w:p>
    <w:p>
      <w:pPr>
        <w:adjustRightInd w:val="0"/>
        <w:snapToGrid w:val="0"/>
        <w:spacing w:line="590" w:lineRule="exact"/>
        <w:ind w:firstLine="1020" w:firstLineChars="300"/>
        <w:jc w:val="center"/>
        <w:rPr>
          <w:rFonts w:ascii="Times New Roman" w:hAnsi="Times New Roman" w:eastAsia="方正公文仿宋" w:cs="Times New Roman"/>
          <w:spacing w:val="10"/>
          <w:sz w:val="32"/>
          <w:szCs w:val="32"/>
        </w:rPr>
      </w:pPr>
      <w:r>
        <w:rPr>
          <w:rFonts w:hint="eastAsia" w:ascii="Times New Roman" w:hAnsi="Times New Roman" w:eastAsia="方正公文仿宋" w:cs="Times New Roman"/>
          <w:spacing w:val="10"/>
          <w:sz w:val="32"/>
          <w:szCs w:val="32"/>
        </w:rPr>
        <w:t>3.2022-2023年第二批结余资金项目申报表</w:t>
      </w:r>
    </w:p>
    <w:p>
      <w:pPr>
        <w:adjustRightInd w:val="0"/>
        <w:snapToGrid w:val="0"/>
        <w:spacing w:line="590" w:lineRule="exact"/>
        <w:ind w:firstLine="680" w:firstLineChars="200"/>
        <w:rPr>
          <w:rFonts w:ascii="Times New Roman" w:hAnsi="Times New Roman" w:eastAsia="方正公文仿宋" w:cs="Times New Roman"/>
          <w:spacing w:val="10"/>
          <w:sz w:val="32"/>
          <w:szCs w:val="32"/>
        </w:rPr>
      </w:pPr>
    </w:p>
    <w:p>
      <w:pPr>
        <w:adjustRightInd w:val="0"/>
        <w:snapToGrid w:val="0"/>
        <w:spacing w:line="590" w:lineRule="exact"/>
        <w:ind w:firstLine="680" w:firstLineChars="200"/>
        <w:jc w:val="right"/>
        <w:rPr>
          <w:rFonts w:ascii="Times New Roman" w:hAnsi="Times New Roman" w:eastAsia="方正公文仿宋" w:cs="Times New Roman"/>
          <w:spacing w:val="10"/>
          <w:sz w:val="32"/>
          <w:szCs w:val="32"/>
        </w:rPr>
      </w:pPr>
      <w:r>
        <w:rPr>
          <w:rFonts w:hint="eastAsia" w:ascii="Times New Roman" w:hAnsi="Times New Roman" w:eastAsia="方正公文仿宋" w:cs="Times New Roman"/>
          <w:spacing w:val="10"/>
          <w:sz w:val="32"/>
          <w:szCs w:val="32"/>
        </w:rPr>
        <w:t>南京市溧水区农业农村局</w:t>
      </w:r>
    </w:p>
    <w:p>
      <w:pPr>
        <w:adjustRightInd w:val="0"/>
        <w:snapToGrid w:val="0"/>
        <w:spacing w:line="590" w:lineRule="exact"/>
        <w:ind w:right="680" w:firstLine="680" w:firstLineChars="200"/>
        <w:jc w:val="right"/>
        <w:rPr>
          <w:rFonts w:hint="eastAsia" w:ascii="Times New Roman" w:hAnsi="Times New Roman" w:eastAsia="方正公文仿宋" w:cs="Times New Roman"/>
          <w:spacing w:val="10"/>
          <w:sz w:val="32"/>
          <w:szCs w:val="32"/>
        </w:rPr>
      </w:pPr>
      <w:r>
        <w:rPr>
          <w:rFonts w:hint="eastAsia" w:ascii="Times New Roman" w:hAnsi="Times New Roman" w:eastAsia="方正公文仿宋" w:cs="Times New Roman"/>
          <w:spacing w:val="10"/>
          <w:sz w:val="32"/>
          <w:szCs w:val="32"/>
        </w:rPr>
        <w:t>2025年4月23日</w:t>
      </w:r>
    </w:p>
    <w:p>
      <w:pPr>
        <w:adjustRightInd w:val="0"/>
        <w:snapToGrid w:val="0"/>
        <w:spacing w:line="590" w:lineRule="exact"/>
        <w:ind w:right="680" w:firstLine="680" w:firstLineChars="200"/>
        <w:jc w:val="right"/>
        <w:rPr>
          <w:rFonts w:hint="eastAsia" w:ascii="Times New Roman" w:hAnsi="Times New Roman" w:eastAsia="方正公文仿宋" w:cs="Times New Roman"/>
          <w:spacing w:val="10"/>
          <w:sz w:val="32"/>
          <w:szCs w:val="32"/>
        </w:rPr>
      </w:pPr>
    </w:p>
    <w:p>
      <w:pPr>
        <w:adjustRightInd w:val="0"/>
        <w:snapToGrid w:val="0"/>
        <w:spacing w:line="590" w:lineRule="exact"/>
        <w:ind w:right="680" w:firstLine="680" w:firstLineChars="200"/>
        <w:jc w:val="right"/>
        <w:rPr>
          <w:rFonts w:hint="eastAsia" w:ascii="Times New Roman" w:hAnsi="Times New Roman" w:eastAsia="方正公文仿宋" w:cs="Times New Roman"/>
          <w:spacing w:val="10"/>
          <w:sz w:val="32"/>
          <w:szCs w:val="32"/>
        </w:rPr>
      </w:pPr>
    </w:p>
    <w:p>
      <w:pPr>
        <w:adjustRightInd w:val="0"/>
        <w:snapToGrid w:val="0"/>
        <w:spacing w:line="590" w:lineRule="exact"/>
        <w:ind w:right="680" w:firstLine="680" w:firstLineChars="200"/>
        <w:jc w:val="right"/>
        <w:rPr>
          <w:rFonts w:hint="eastAsia" w:ascii="Times New Roman" w:hAnsi="Times New Roman" w:eastAsia="方正公文仿宋" w:cs="Times New Roman"/>
          <w:spacing w:val="10"/>
          <w:sz w:val="32"/>
          <w:szCs w:val="32"/>
        </w:rPr>
      </w:pPr>
    </w:p>
    <w:p>
      <w:pPr>
        <w:adjustRightInd w:val="0"/>
        <w:snapToGrid w:val="0"/>
        <w:spacing w:line="590" w:lineRule="exact"/>
        <w:ind w:right="680" w:firstLine="680" w:firstLineChars="200"/>
        <w:jc w:val="right"/>
        <w:rPr>
          <w:rFonts w:hint="eastAsia" w:ascii="Times New Roman" w:hAnsi="Times New Roman" w:eastAsia="方正公文仿宋" w:cs="Times New Roman"/>
          <w:spacing w:val="10"/>
          <w:sz w:val="32"/>
          <w:szCs w:val="32"/>
        </w:rPr>
      </w:pPr>
    </w:p>
    <w:p>
      <w:pPr>
        <w:adjustRightInd w:val="0"/>
        <w:snapToGrid w:val="0"/>
        <w:spacing w:line="590" w:lineRule="exact"/>
        <w:ind w:right="680" w:firstLine="680" w:firstLineChars="200"/>
        <w:jc w:val="right"/>
        <w:rPr>
          <w:rFonts w:hint="eastAsia" w:ascii="Times New Roman" w:hAnsi="Times New Roman" w:eastAsia="方正公文仿宋" w:cs="Times New Roman"/>
          <w:spacing w:val="10"/>
          <w:sz w:val="32"/>
          <w:szCs w:val="32"/>
        </w:rPr>
      </w:pPr>
    </w:p>
    <w:p>
      <w:pPr>
        <w:adjustRightInd w:val="0"/>
        <w:snapToGrid w:val="0"/>
        <w:spacing w:line="590" w:lineRule="exact"/>
        <w:ind w:right="680" w:firstLine="680" w:firstLineChars="200"/>
        <w:jc w:val="right"/>
        <w:rPr>
          <w:rFonts w:hint="eastAsia" w:ascii="Times New Roman" w:hAnsi="Times New Roman" w:eastAsia="方正公文仿宋" w:cs="Times New Roman"/>
          <w:spacing w:val="10"/>
          <w:sz w:val="32"/>
          <w:szCs w:val="32"/>
        </w:rPr>
      </w:pPr>
    </w:p>
    <w:p>
      <w:pPr>
        <w:adjustRightInd w:val="0"/>
        <w:snapToGrid w:val="0"/>
        <w:spacing w:line="590" w:lineRule="exact"/>
        <w:ind w:right="680" w:firstLine="680" w:firstLineChars="200"/>
        <w:jc w:val="right"/>
        <w:rPr>
          <w:rFonts w:hint="eastAsia" w:ascii="Times New Roman" w:hAnsi="Times New Roman" w:eastAsia="方正公文仿宋" w:cs="Times New Roman"/>
          <w:spacing w:val="10"/>
          <w:sz w:val="32"/>
          <w:szCs w:val="32"/>
        </w:rPr>
      </w:pPr>
    </w:p>
    <w:p>
      <w:pPr>
        <w:adjustRightInd w:val="0"/>
        <w:snapToGrid w:val="0"/>
        <w:spacing w:line="590" w:lineRule="exact"/>
        <w:ind w:right="680" w:firstLine="680" w:firstLineChars="200"/>
        <w:jc w:val="right"/>
        <w:rPr>
          <w:rFonts w:hint="eastAsia" w:ascii="Times New Roman" w:hAnsi="Times New Roman" w:eastAsia="方正公文仿宋" w:cs="Times New Roman"/>
          <w:spacing w:val="10"/>
          <w:sz w:val="32"/>
          <w:szCs w:val="32"/>
        </w:rPr>
      </w:pPr>
    </w:p>
    <w:p>
      <w:pPr>
        <w:adjustRightInd w:val="0"/>
        <w:snapToGrid w:val="0"/>
        <w:spacing w:line="590" w:lineRule="exact"/>
        <w:ind w:right="680" w:firstLine="680" w:firstLineChars="200"/>
        <w:jc w:val="right"/>
        <w:rPr>
          <w:rFonts w:hint="eastAsia" w:ascii="Times New Roman" w:hAnsi="Times New Roman" w:eastAsia="方正公文仿宋" w:cs="Times New Roman"/>
          <w:spacing w:val="10"/>
          <w:sz w:val="32"/>
          <w:szCs w:val="32"/>
        </w:rPr>
      </w:pPr>
    </w:p>
    <w:p>
      <w:pPr>
        <w:adjustRightInd w:val="0"/>
        <w:snapToGrid w:val="0"/>
        <w:spacing w:line="590" w:lineRule="exact"/>
        <w:ind w:right="680" w:firstLine="680" w:firstLineChars="200"/>
        <w:jc w:val="right"/>
        <w:rPr>
          <w:rFonts w:hint="eastAsia" w:ascii="Times New Roman" w:hAnsi="Times New Roman" w:eastAsia="方正公文仿宋" w:cs="Times New Roman"/>
          <w:spacing w:val="10"/>
          <w:sz w:val="32"/>
          <w:szCs w:val="32"/>
        </w:rPr>
      </w:pPr>
    </w:p>
    <w:p>
      <w:pPr>
        <w:adjustRightInd w:val="0"/>
        <w:snapToGrid w:val="0"/>
        <w:spacing w:line="590" w:lineRule="exact"/>
        <w:ind w:right="680" w:firstLine="680" w:firstLineChars="200"/>
        <w:jc w:val="right"/>
        <w:rPr>
          <w:rFonts w:hint="eastAsia" w:ascii="Times New Roman" w:hAnsi="Times New Roman" w:eastAsia="方正公文仿宋" w:cs="Times New Roman"/>
          <w:spacing w:val="10"/>
          <w:sz w:val="32"/>
          <w:szCs w:val="32"/>
        </w:rPr>
      </w:pPr>
    </w:p>
    <w:p>
      <w:pPr>
        <w:adjustRightInd w:val="0"/>
        <w:snapToGrid w:val="0"/>
        <w:spacing w:line="580" w:lineRule="exact"/>
        <w:rPr>
          <w:rFonts w:ascii="Times New Roman" w:hAnsi="Times New Roman" w:eastAsia="方正公文仿宋" w:cs="Times New Roman"/>
          <w:sz w:val="32"/>
          <w:szCs w:val="32"/>
        </w:rPr>
      </w:pPr>
      <w:r>
        <w:rPr>
          <w:rFonts w:hint="eastAsia" w:ascii="Times New Roman" w:hAnsi="方正公文仿宋" w:eastAsia="方正公文仿宋" w:cs="Times New Roman"/>
          <w:sz w:val="32"/>
          <w:szCs w:val="32"/>
        </w:rPr>
        <w:t>附件</w:t>
      </w:r>
      <w:r>
        <w:rPr>
          <w:rFonts w:hint="eastAsia" w:ascii="Times New Roman" w:hAnsi="Times New Roman" w:eastAsia="方正公文仿宋" w:cs="Times New Roman"/>
          <w:sz w:val="32"/>
          <w:szCs w:val="32"/>
        </w:rPr>
        <w:t>1</w:t>
      </w:r>
    </w:p>
    <w:p>
      <w:pPr>
        <w:adjustRightInd w:val="0"/>
        <w:snapToGrid w:val="0"/>
        <w:spacing w:line="200" w:lineRule="exact"/>
        <w:jc w:val="left"/>
        <w:rPr>
          <w:rFonts w:ascii="Times New Roman" w:hAnsi="Times New Roman" w:eastAsia="方正公文仿宋" w:cs="Times New Roman"/>
          <w:sz w:val="44"/>
          <w:szCs w:val="44"/>
        </w:rPr>
      </w:pPr>
    </w:p>
    <w:p>
      <w:pPr>
        <w:adjustRightInd w:val="0"/>
        <w:snapToGrid w:val="0"/>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设施蔬菜园艺项目扶持目录</w:t>
      </w:r>
    </w:p>
    <w:p>
      <w:pPr>
        <w:adjustRightInd w:val="0"/>
        <w:snapToGrid w:val="0"/>
        <w:spacing w:line="200" w:lineRule="exact"/>
        <w:jc w:val="center"/>
        <w:rPr>
          <w:rFonts w:ascii="Times New Roman" w:hAnsi="Times New Roman" w:eastAsia="仿宋_GB2312" w:cs="Times New Roman"/>
          <w:sz w:val="32"/>
          <w:szCs w:val="32"/>
        </w:rPr>
      </w:pPr>
    </w:p>
    <w:tbl>
      <w:tblPr>
        <w:tblStyle w:val="7"/>
        <w:tblW w:w="9923"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135"/>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trPr>
        <w:tc>
          <w:tcPr>
            <w:tcW w:w="1135" w:type="dxa"/>
            <w:vMerge w:val="restart"/>
            <w:noWrap/>
            <w:vAlign w:val="center"/>
          </w:tcPr>
          <w:p>
            <w:pPr>
              <w:widowControl/>
              <w:spacing w:line="250" w:lineRule="exact"/>
              <w:jc w:val="center"/>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类别</w:t>
            </w:r>
          </w:p>
        </w:tc>
        <w:tc>
          <w:tcPr>
            <w:tcW w:w="8788" w:type="dxa"/>
            <w:noWrap/>
            <w:vAlign w:val="center"/>
          </w:tcPr>
          <w:p>
            <w:pPr>
              <w:widowControl/>
              <w:spacing w:line="250" w:lineRule="exact"/>
              <w:jc w:val="center"/>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参考技术标准和要求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trPr>
        <w:tc>
          <w:tcPr>
            <w:tcW w:w="1135" w:type="dxa"/>
            <w:vMerge w:val="continue"/>
            <w:noWrap/>
            <w:vAlign w:val="center"/>
          </w:tcPr>
          <w:p>
            <w:pPr>
              <w:widowControl/>
              <w:spacing w:line="250" w:lineRule="exact"/>
              <w:jc w:val="center"/>
              <w:rPr>
                <w:rFonts w:ascii="Times New Roman" w:hAnsi="Times New Roman" w:eastAsia="方正公文仿宋" w:cs="Times New Roman"/>
                <w:kern w:val="0"/>
                <w:sz w:val="24"/>
                <w:szCs w:val="24"/>
              </w:rPr>
            </w:pPr>
          </w:p>
        </w:tc>
        <w:tc>
          <w:tcPr>
            <w:tcW w:w="8788" w:type="dxa"/>
            <w:noWrap/>
            <w:vAlign w:val="center"/>
          </w:tcPr>
          <w:p>
            <w:pPr>
              <w:widowControl/>
              <w:spacing w:line="250" w:lineRule="exact"/>
              <w:jc w:val="center"/>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注：仅供参考，有国标或省标的设施类型以国标或省标为准。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trPr>
        <w:tc>
          <w:tcPr>
            <w:tcW w:w="1135" w:type="dxa"/>
            <w:noWrap/>
            <w:vAlign w:val="center"/>
          </w:tcPr>
          <w:p>
            <w:pPr>
              <w:widowControl/>
              <w:spacing w:line="250" w:lineRule="exact"/>
              <w:jc w:val="center"/>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8332钢架大棚</w:t>
            </w:r>
          </w:p>
        </w:tc>
        <w:tc>
          <w:tcPr>
            <w:tcW w:w="8788" w:type="dxa"/>
            <w:noWrap/>
            <w:vAlign w:val="center"/>
          </w:tcPr>
          <w:p>
            <w:pPr>
              <w:widowControl/>
              <w:spacing w:line="250" w:lineRule="exact"/>
              <w:jc w:val="left"/>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建设钢架大棚，棚体8米宽、棚高3.2米以上、肩高1.8米以上，热镀锌钢管、管径32mm以上，拱管间距</w:t>
            </w:r>
            <w:r>
              <w:rPr>
                <w:rFonts w:hint="eastAsia" w:ascii="Times New Roman" w:hAnsi="Times New Roman" w:eastAsia="方正公文仿宋" w:cs="Times New Roman"/>
                <w:kern w:val="0"/>
                <w:sz w:val="24"/>
                <w:szCs w:val="24"/>
                <w:u w:val="single"/>
              </w:rPr>
              <w:t>80cm</w:t>
            </w:r>
            <w:r>
              <w:rPr>
                <w:rFonts w:hint="eastAsia" w:ascii="Times New Roman" w:hAnsi="Times New Roman" w:eastAsia="方正公文仿宋" w:cs="Times New Roman"/>
                <w:kern w:val="0"/>
                <w:sz w:val="24"/>
                <w:szCs w:val="24"/>
              </w:rPr>
              <w:t>，棚间距不小于1.5m。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1" w:hRule="exact"/>
        </w:trPr>
        <w:tc>
          <w:tcPr>
            <w:tcW w:w="1135" w:type="dxa"/>
            <w:noWrap/>
            <w:vAlign w:val="center"/>
          </w:tcPr>
          <w:p>
            <w:pPr>
              <w:widowControl/>
              <w:spacing w:line="250" w:lineRule="exact"/>
              <w:jc w:val="center"/>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钢架避雨</w:t>
            </w:r>
          </w:p>
          <w:p>
            <w:pPr>
              <w:widowControl/>
              <w:spacing w:line="250" w:lineRule="exact"/>
              <w:jc w:val="center"/>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设施</w:t>
            </w:r>
          </w:p>
        </w:tc>
        <w:tc>
          <w:tcPr>
            <w:tcW w:w="8788" w:type="dxa"/>
            <w:noWrap/>
            <w:vAlign w:val="center"/>
          </w:tcPr>
          <w:p>
            <w:pPr>
              <w:widowControl/>
              <w:spacing w:line="250" w:lineRule="exact"/>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以壁厚2mm，管径25mm钢管为支柱（或100 mm *100 mm水泥柱），高2.1m，埋深60-100cm，管径25mm热镀锌钢管为主拱，拱管间距80cm，6米开间的钢架避雨设施。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93" w:hRule="exact"/>
        </w:trPr>
        <w:tc>
          <w:tcPr>
            <w:tcW w:w="1135" w:type="dxa"/>
            <w:noWrap/>
            <w:vAlign w:val="center"/>
          </w:tcPr>
          <w:p>
            <w:pPr>
              <w:widowControl/>
              <w:spacing w:line="250" w:lineRule="exact"/>
              <w:jc w:val="center"/>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连幢塑料</w:t>
            </w:r>
          </w:p>
          <w:p>
            <w:pPr>
              <w:widowControl/>
              <w:spacing w:line="250" w:lineRule="exact"/>
              <w:jc w:val="center"/>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温室</w:t>
            </w:r>
          </w:p>
        </w:tc>
        <w:tc>
          <w:tcPr>
            <w:tcW w:w="8788" w:type="dxa"/>
            <w:noWrap/>
            <w:vAlign w:val="center"/>
          </w:tcPr>
          <w:p>
            <w:pPr>
              <w:widowControl/>
              <w:spacing w:line="250" w:lineRule="exact"/>
              <w:jc w:val="left"/>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圆拱型、热镀锌低碳钢材骨架， 跨度6-8m，开间4m，肩高（天沟高度）3m，顶高约4.8m，外遮阳高度约5.5m；要求有主拱和副拱管，主拱管间距4m，采用不小于Ф60×3mm热镀锌圆管或40×60mm矩形管，副拱杆间距1m，采用不小于Ф32×2mm热镀锌圆管，天沟厚度不低于2.5mm。建议单栋连栋温室面积不超过5000平米。配套外遮阳系统、风扇-湿帘降温系统和辅助加温系统（每1000m2配置不小于10万大卡的加温设备）。为了应对大雪，建议开间方向相邻立柱间可增加副立柱或者沿天沟方向在天沟下部增加一矩形管作为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3" w:hRule="exact"/>
        </w:trPr>
        <w:tc>
          <w:tcPr>
            <w:tcW w:w="1135" w:type="dxa"/>
            <w:noWrap/>
            <w:vAlign w:val="center"/>
          </w:tcPr>
          <w:p>
            <w:pPr>
              <w:widowControl/>
              <w:spacing w:line="250" w:lineRule="exact"/>
              <w:jc w:val="center"/>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玻璃温室</w:t>
            </w:r>
          </w:p>
        </w:tc>
        <w:tc>
          <w:tcPr>
            <w:tcW w:w="8788" w:type="dxa"/>
            <w:noWrap/>
            <w:vAlign w:val="center"/>
          </w:tcPr>
          <w:p>
            <w:pPr>
              <w:widowControl/>
              <w:spacing w:line="250" w:lineRule="exact"/>
              <w:jc w:val="left"/>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建设标准为钢结构，肩高4米以上，8米开间，立柱120×80×4㎜热镀锌方管，配套内外遮阳、升（降）温通风系统。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7" w:hRule="exact"/>
        </w:trPr>
        <w:tc>
          <w:tcPr>
            <w:tcW w:w="1135" w:type="dxa"/>
            <w:noWrap/>
            <w:vAlign w:val="center"/>
          </w:tcPr>
          <w:p>
            <w:pPr>
              <w:widowControl/>
              <w:spacing w:line="250" w:lineRule="exact"/>
              <w:jc w:val="center"/>
              <w:rPr>
                <w:rFonts w:ascii="Times New Roman" w:hAnsi="Times New Roman" w:eastAsia="方正公文仿宋" w:cs="Times New Roman"/>
                <w:sz w:val="24"/>
                <w:szCs w:val="24"/>
              </w:rPr>
            </w:pPr>
            <w:r>
              <w:rPr>
                <w:rFonts w:hint="eastAsia" w:ascii="Times New Roman" w:hAnsi="Times New Roman" w:eastAsia="方正公文仿宋" w:cs="Times New Roman"/>
                <w:sz w:val="24"/>
                <w:szCs w:val="24"/>
              </w:rPr>
              <w:t>茶园防霜</w:t>
            </w:r>
          </w:p>
          <w:p>
            <w:pPr>
              <w:widowControl/>
              <w:spacing w:line="250" w:lineRule="exact"/>
              <w:jc w:val="center"/>
              <w:rPr>
                <w:rFonts w:ascii="Times New Roman" w:hAnsi="Times New Roman" w:eastAsia="方正公文仿宋" w:cs="Times New Roman"/>
                <w:sz w:val="24"/>
                <w:szCs w:val="24"/>
              </w:rPr>
            </w:pPr>
            <w:r>
              <w:rPr>
                <w:rFonts w:hint="eastAsia" w:ascii="Times New Roman" w:hAnsi="Times New Roman" w:eastAsia="方正公文仿宋" w:cs="Times New Roman"/>
                <w:sz w:val="24"/>
                <w:szCs w:val="24"/>
              </w:rPr>
              <w:t>设施</w:t>
            </w:r>
          </w:p>
        </w:tc>
        <w:tc>
          <w:tcPr>
            <w:tcW w:w="8788" w:type="dxa"/>
            <w:noWrap/>
            <w:vAlign w:val="center"/>
          </w:tcPr>
          <w:p>
            <w:pPr>
              <w:widowControl/>
              <w:spacing w:line="250" w:lineRule="exact"/>
              <w:jc w:val="left"/>
              <w:rPr>
                <w:rFonts w:ascii="Times New Roman" w:hAnsi="Times New Roman" w:eastAsia="方正公文仿宋" w:cs="Times New Roman"/>
                <w:sz w:val="24"/>
                <w:szCs w:val="24"/>
              </w:rPr>
            </w:pPr>
            <w:r>
              <w:rPr>
                <w:rFonts w:hint="eastAsia" w:ascii="Times New Roman" w:hAnsi="Times New Roman" w:eastAsia="方正公文仿宋" w:cs="Times New Roman"/>
                <w:sz w:val="24"/>
                <w:szCs w:val="24"/>
              </w:rPr>
              <w:t>水泥或热镀锌钢架柱高2米，株距4米，行距6米，立柱间以钢丝绳相连，上面覆盖75号黑色遮阳网，并配备电动外遮阳系统（电动收放机、配电系统、基础设施）；或配备防霜扇设施，须按国际标准建设。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5" w:hRule="exact"/>
        </w:trPr>
        <w:tc>
          <w:tcPr>
            <w:tcW w:w="1135" w:type="dxa"/>
            <w:noWrap/>
            <w:vAlign w:val="center"/>
          </w:tcPr>
          <w:p>
            <w:pPr>
              <w:widowControl/>
              <w:spacing w:line="250" w:lineRule="exact"/>
              <w:jc w:val="center"/>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防鸟网</w:t>
            </w:r>
          </w:p>
        </w:tc>
        <w:tc>
          <w:tcPr>
            <w:tcW w:w="8788" w:type="dxa"/>
            <w:noWrap/>
            <w:vAlign w:val="center"/>
          </w:tcPr>
          <w:p>
            <w:pPr>
              <w:widowControl/>
              <w:spacing w:line="250" w:lineRule="exact"/>
              <w:jc w:val="left"/>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采用钢管或水泥柱作支撑架，地上高3-4m，地下埋深60-100cm，间隔5m左右。四角的钢管直径75mm以上，壁厚3.2mm以上，借助水泥墩生根，并用钢索斜拉固定。四边的钢管直径50mm以上，壁厚3mm以上，用钢索斜拉固定。中间支撑钢管直径40mm以上，壁厚2.5mm以上。水泥立柱（100 mm *100 mm）内置4根直径6 mm钢筋，4道钢筋扎箍，四角水泥柱借助水泥墩生根，四边水泥柱用钢索斜拉固定。顶端用直径8-10mm的多股钢索拉紧形成整体框架。根据生产实际需要上覆尼龙浸塑或聚乙烯单丝防鸟网，网眼4*4cm以内。单个田块面积20亩左右为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2" w:hRule="exact"/>
        </w:trPr>
        <w:tc>
          <w:tcPr>
            <w:tcW w:w="1135" w:type="dxa"/>
            <w:noWrap/>
            <w:vAlign w:val="center"/>
          </w:tcPr>
          <w:p>
            <w:pPr>
              <w:widowControl/>
              <w:spacing w:line="250" w:lineRule="exact"/>
              <w:jc w:val="center"/>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高架式水平防虫网</w:t>
            </w:r>
          </w:p>
        </w:tc>
        <w:tc>
          <w:tcPr>
            <w:tcW w:w="8788" w:type="dxa"/>
            <w:noWrap/>
            <w:vAlign w:val="center"/>
          </w:tcPr>
          <w:p>
            <w:pPr>
              <w:widowControl/>
              <w:spacing w:line="250" w:lineRule="exact"/>
              <w:jc w:val="left"/>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采用60 mm *60 mm方钢管或100 mm *100 mm水泥柱作支撑架。立柱高2.6-3米，埋深60-80厘米，间距8米，四周立柱用钢索斜拉固定；顶部用钢索或</w:t>
            </w:r>
            <w:r>
              <w:rPr>
                <w:rFonts w:hint="eastAsia" w:ascii="Times New Roman" w:hAnsi="Times New Roman" w:eastAsia="方正公文仿宋" w:cs="Times New Roman"/>
                <w:kern w:val="0"/>
                <w:sz w:val="24"/>
                <w:szCs w:val="24"/>
                <w:lang w:val="en-US" w:eastAsia="zh-CN"/>
              </w:rPr>
              <w:t>椼</w:t>
            </w:r>
            <w:bookmarkStart w:id="0" w:name="_GoBack"/>
            <w:bookmarkEnd w:id="0"/>
            <w:r>
              <w:rPr>
                <w:rFonts w:hint="eastAsia" w:ascii="Times New Roman" w:hAnsi="Times New Roman" w:eastAsia="方正公文仿宋" w:cs="Times New Roman"/>
                <w:kern w:val="0"/>
                <w:sz w:val="24"/>
                <w:szCs w:val="24"/>
              </w:rPr>
              <w:t>架连接并固定。顶部和四周分别根据生产实际需要覆盖防虫网，成棚面积以3亩左右为宜。防虫网目数范围在18—22目之间。水泥柱内置4根直径5.5 mm钢筋，4道钢筋扎箍，上端用橡胶皮包扎。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7" w:hRule="exact"/>
        </w:trPr>
        <w:tc>
          <w:tcPr>
            <w:tcW w:w="1135" w:type="dxa"/>
            <w:noWrap/>
            <w:vAlign w:val="center"/>
          </w:tcPr>
          <w:p>
            <w:pPr>
              <w:widowControl/>
              <w:spacing w:line="250" w:lineRule="exact"/>
              <w:jc w:val="center"/>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智能工厂化菇房</w:t>
            </w:r>
          </w:p>
        </w:tc>
        <w:tc>
          <w:tcPr>
            <w:tcW w:w="8788" w:type="dxa"/>
            <w:noWrap/>
            <w:vAlign w:val="center"/>
          </w:tcPr>
          <w:p>
            <w:pPr>
              <w:widowControl/>
              <w:spacing w:line="250" w:lineRule="exact"/>
              <w:jc w:val="left"/>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菇房建筑面积</w:t>
            </w:r>
            <w:r>
              <w:rPr>
                <w:rFonts w:hint="eastAsia" w:ascii="Times New Roman" w:hAnsi="Times New Roman" w:eastAsia="方正公文仿宋" w:cs="Times New Roman"/>
                <w:kern w:val="0"/>
                <w:sz w:val="24"/>
                <w:szCs w:val="24"/>
                <w:u w:val="single"/>
              </w:rPr>
              <w:t>4000</w:t>
            </w:r>
            <w:r>
              <w:rPr>
                <w:rFonts w:hint="eastAsia" w:ascii="Times New Roman" w:hAnsi="Times New Roman" w:eastAsia="方正公文仿宋" w:cs="Times New Roman"/>
                <w:kern w:val="0"/>
                <w:sz w:val="24"/>
                <w:szCs w:val="24"/>
              </w:rPr>
              <w:t>平方米以上，墙体、地面应用保温材料建设，配备自动控温、通风、照明等系统，配备生产床架，配套建设生产管理用房及其它必备的生产附属设施。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3" w:hRule="exact"/>
        </w:trPr>
        <w:tc>
          <w:tcPr>
            <w:tcW w:w="1135" w:type="dxa"/>
            <w:noWrap/>
            <w:vAlign w:val="center"/>
          </w:tcPr>
          <w:p>
            <w:pPr>
              <w:widowControl/>
              <w:spacing w:line="250" w:lineRule="exact"/>
              <w:jc w:val="center"/>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喷滴灌系统</w:t>
            </w:r>
          </w:p>
        </w:tc>
        <w:tc>
          <w:tcPr>
            <w:tcW w:w="8788" w:type="dxa"/>
            <w:noWrap/>
            <w:vAlign w:val="center"/>
          </w:tcPr>
          <w:p>
            <w:pPr>
              <w:widowControl/>
              <w:spacing w:line="250" w:lineRule="exact"/>
              <w:jc w:val="left"/>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每亩配置各类滴灌带200米以上，或各类管上滴头50个以上，或各类微喷头20个以上，或各类大田喷头8个以上；田间地埋PVC主管20米以上；配置首部系统（包括5kw以上水泵1台、控制柜、过滤器等）。根据需要配套泵站、蓄水池、主灌溉渠道等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8" w:hRule="exact"/>
        </w:trPr>
        <w:tc>
          <w:tcPr>
            <w:tcW w:w="1135" w:type="dxa"/>
            <w:noWrap/>
            <w:vAlign w:val="center"/>
          </w:tcPr>
          <w:p>
            <w:pPr>
              <w:widowControl/>
              <w:spacing w:line="250" w:lineRule="exact"/>
              <w:jc w:val="center"/>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10-20米宽体钢架大棚</w:t>
            </w:r>
          </w:p>
        </w:tc>
        <w:tc>
          <w:tcPr>
            <w:tcW w:w="8788" w:type="dxa"/>
            <w:noWrap/>
            <w:vAlign w:val="center"/>
          </w:tcPr>
          <w:p>
            <w:pPr>
              <w:widowControl/>
              <w:spacing w:line="250" w:lineRule="exact"/>
              <w:jc w:val="left"/>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外棚跨度10-20米，顶高3.7-5.5米，肩高2-2.8米，拱管间距1.1米；内棚跨度9-19米，顶高2.7-4.5米，肩高1.7-2.5米，拱管间距1-1.5米；棚体纵向呈南北走向；中央立柱高3.7-5.5米，间距3.3-4米；热镀锌钢管、管径32mm-70mm，棚间距1.5m-3m。</w:t>
            </w:r>
          </w:p>
        </w:tc>
      </w:tr>
    </w:tbl>
    <w:p>
      <w:pPr>
        <w:adjustRightInd w:val="0"/>
        <w:snapToGrid w:val="0"/>
        <w:spacing w:line="590" w:lineRule="exact"/>
        <w:jc w:val="left"/>
        <w:rPr>
          <w:rFonts w:ascii="Times New Roman" w:hAnsi="Times New Roman" w:eastAsia="方正公文仿宋" w:cs="宋体"/>
          <w:bCs/>
          <w:kern w:val="0"/>
          <w:sz w:val="32"/>
          <w:szCs w:val="32"/>
        </w:rPr>
      </w:pPr>
      <w:r>
        <w:rPr>
          <w:rFonts w:hint="eastAsia" w:ascii="Times New Roman" w:hAnsi="方正公文仿宋" w:eastAsia="方正公文仿宋" w:cs="宋体"/>
          <w:bCs/>
          <w:kern w:val="0"/>
          <w:sz w:val="32"/>
          <w:szCs w:val="32"/>
        </w:rPr>
        <w:t>附件</w:t>
      </w:r>
      <w:r>
        <w:rPr>
          <w:rFonts w:hint="eastAsia" w:ascii="Times New Roman" w:hAnsi="Times New Roman" w:eastAsia="方正公文仿宋" w:cs="宋体"/>
          <w:bCs/>
          <w:kern w:val="0"/>
          <w:sz w:val="32"/>
          <w:szCs w:val="32"/>
        </w:rPr>
        <w:t>2</w:t>
      </w:r>
    </w:p>
    <w:p>
      <w:pPr>
        <w:adjustRightInd w:val="0"/>
        <w:snapToGrid w:val="0"/>
        <w:spacing w:line="590" w:lineRule="exact"/>
        <w:jc w:val="center"/>
        <w:rPr>
          <w:rFonts w:ascii="Times New Roman" w:hAnsi="Times New Roman" w:eastAsia="方正公文小标宋" w:cs="宋体"/>
          <w:bCs/>
          <w:kern w:val="0"/>
          <w:sz w:val="44"/>
          <w:szCs w:val="44"/>
        </w:rPr>
      </w:pPr>
      <w:r>
        <w:rPr>
          <w:rFonts w:hint="eastAsia" w:ascii="Times New Roman" w:hAnsi="方正公文小标宋" w:eastAsia="方正公文小标宋" w:cs="宋体"/>
          <w:bCs/>
          <w:kern w:val="0"/>
          <w:sz w:val="44"/>
          <w:szCs w:val="44"/>
        </w:rPr>
        <w:t>设施蔬菜园艺项目规模要求</w:t>
      </w:r>
    </w:p>
    <w:p>
      <w:pPr>
        <w:adjustRightInd w:val="0"/>
        <w:snapToGrid w:val="0"/>
        <w:spacing w:line="590" w:lineRule="exact"/>
        <w:jc w:val="center"/>
        <w:rPr>
          <w:rFonts w:ascii="Times New Roman" w:hAnsi="Times New Roman" w:eastAsia="方正公文小标宋" w:cs="宋体"/>
          <w:bCs/>
          <w:kern w:val="0"/>
          <w:sz w:val="44"/>
          <w:szCs w:val="4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4401"/>
        <w:gridCol w:w="3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01" w:type="dxa"/>
            <w:vAlign w:val="center"/>
          </w:tcPr>
          <w:p>
            <w:pPr>
              <w:widowControl/>
              <w:spacing w:line="520" w:lineRule="exact"/>
              <w:jc w:val="center"/>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Cs/>
                <w:spacing w:val="10"/>
                <w:sz w:val="32"/>
                <w:szCs w:val="32"/>
              </w:rPr>
              <w:t>序号</w:t>
            </w:r>
          </w:p>
        </w:tc>
        <w:tc>
          <w:tcPr>
            <w:tcW w:w="4536" w:type="dxa"/>
            <w:vAlign w:val="center"/>
          </w:tcPr>
          <w:p>
            <w:pPr>
              <w:widowControl/>
              <w:spacing w:line="520" w:lineRule="exact"/>
              <w:jc w:val="center"/>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Cs/>
                <w:spacing w:val="10"/>
                <w:sz w:val="32"/>
                <w:szCs w:val="32"/>
              </w:rPr>
              <w:t>设施类型</w:t>
            </w:r>
          </w:p>
        </w:tc>
        <w:tc>
          <w:tcPr>
            <w:tcW w:w="3685" w:type="dxa"/>
            <w:vAlign w:val="center"/>
          </w:tcPr>
          <w:p>
            <w:pPr>
              <w:widowControl/>
              <w:spacing w:line="520" w:lineRule="exact"/>
              <w:jc w:val="center"/>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Cs/>
                <w:spacing w:val="10"/>
                <w:sz w:val="32"/>
                <w:szCs w:val="32"/>
              </w:rPr>
              <w:t>新增连片设施净面积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01" w:type="dxa"/>
            <w:vAlign w:val="center"/>
          </w:tcPr>
          <w:p>
            <w:pPr>
              <w:widowControl/>
              <w:spacing w:line="520" w:lineRule="exact"/>
              <w:jc w:val="center"/>
              <w:rPr>
                <w:rFonts w:ascii="Times New Roman" w:hAnsi="Times New Roman" w:eastAsia="方正公文仿宋" w:cs="Times New Roman"/>
                <w:bCs/>
                <w:spacing w:val="10"/>
                <w:sz w:val="32"/>
                <w:szCs w:val="32"/>
              </w:rPr>
            </w:pPr>
            <w:r>
              <w:rPr>
                <w:rFonts w:ascii="Times New Roman" w:hAnsi="Times New Roman" w:eastAsia="方正公文仿宋" w:cs="Times New Roman"/>
                <w:bCs/>
                <w:spacing w:val="10"/>
                <w:sz w:val="32"/>
                <w:szCs w:val="32"/>
              </w:rPr>
              <w:t>1</w:t>
            </w:r>
          </w:p>
        </w:tc>
        <w:tc>
          <w:tcPr>
            <w:tcW w:w="4536" w:type="dxa"/>
            <w:vAlign w:val="center"/>
          </w:tcPr>
          <w:p>
            <w:pPr>
              <w:widowControl/>
              <w:spacing w:line="520" w:lineRule="exact"/>
              <w:jc w:val="left"/>
              <w:rPr>
                <w:rFonts w:ascii="Times New Roman" w:hAnsi="Times New Roman" w:eastAsia="方正公文仿宋" w:cs="Times New Roman"/>
                <w:bCs/>
                <w:spacing w:val="10"/>
                <w:sz w:val="32"/>
                <w:szCs w:val="32"/>
              </w:rPr>
            </w:pPr>
            <w:r>
              <w:rPr>
                <w:rFonts w:ascii="Times New Roman" w:hAnsi="Times New Roman" w:eastAsia="方正公文仿宋" w:cs="Times New Roman"/>
                <w:bCs/>
                <w:spacing w:val="10"/>
                <w:sz w:val="32"/>
                <w:szCs w:val="32"/>
              </w:rPr>
              <w:t>8332钢架大棚、钢架避雨设施、防鸟网、茶园防霜设施</w:t>
            </w:r>
          </w:p>
        </w:tc>
        <w:tc>
          <w:tcPr>
            <w:tcW w:w="3685" w:type="dxa"/>
            <w:vAlign w:val="center"/>
          </w:tcPr>
          <w:p>
            <w:pPr>
              <w:widowControl/>
              <w:spacing w:line="520" w:lineRule="exact"/>
              <w:jc w:val="center"/>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Cs/>
                <w:spacing w:val="10"/>
                <w:sz w:val="32"/>
                <w:szCs w:val="32"/>
              </w:rPr>
              <w:t>≥5</w:t>
            </w:r>
            <w:r>
              <w:rPr>
                <w:rFonts w:ascii="Times New Roman" w:hAnsi="Times New Roman" w:eastAsia="方正公文仿宋" w:cs="Times New Roman"/>
                <w:bCs/>
                <w:spacing w:val="10"/>
                <w:sz w:val="32"/>
                <w:szCs w:val="32"/>
              </w:rPr>
              <w:t>0</w:t>
            </w:r>
            <w:r>
              <w:rPr>
                <w:rFonts w:hint="eastAsia" w:ascii="Times New Roman" w:hAnsi="Times New Roman" w:eastAsia="方正公文仿宋" w:cs="Times New Roman"/>
                <w:bCs/>
                <w:spacing w:val="10"/>
                <w:sz w:val="32"/>
                <w:szCs w:val="32"/>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01" w:type="dxa"/>
            <w:vAlign w:val="center"/>
          </w:tcPr>
          <w:p>
            <w:pPr>
              <w:widowControl/>
              <w:spacing w:line="520" w:lineRule="exact"/>
              <w:jc w:val="center"/>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Cs/>
                <w:spacing w:val="10"/>
                <w:sz w:val="32"/>
                <w:szCs w:val="32"/>
              </w:rPr>
              <w:t>2</w:t>
            </w:r>
          </w:p>
        </w:tc>
        <w:tc>
          <w:tcPr>
            <w:tcW w:w="4536" w:type="dxa"/>
            <w:vAlign w:val="center"/>
          </w:tcPr>
          <w:p>
            <w:pPr>
              <w:widowControl/>
              <w:spacing w:line="520" w:lineRule="exact"/>
              <w:jc w:val="left"/>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Cs/>
                <w:spacing w:val="10"/>
                <w:sz w:val="32"/>
                <w:szCs w:val="32"/>
              </w:rPr>
              <w:t>连幢塑料温室</w:t>
            </w:r>
          </w:p>
        </w:tc>
        <w:tc>
          <w:tcPr>
            <w:tcW w:w="3685" w:type="dxa"/>
            <w:vAlign w:val="center"/>
          </w:tcPr>
          <w:p>
            <w:pPr>
              <w:widowControl/>
              <w:spacing w:line="520" w:lineRule="exact"/>
              <w:jc w:val="center"/>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Cs/>
                <w:spacing w:val="10"/>
                <w:sz w:val="32"/>
                <w:szCs w:val="32"/>
              </w:rPr>
              <w:t>≥5000平方米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01" w:type="dxa"/>
            <w:vAlign w:val="center"/>
          </w:tcPr>
          <w:p>
            <w:pPr>
              <w:widowControl/>
              <w:spacing w:line="520" w:lineRule="exact"/>
              <w:jc w:val="center"/>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Cs/>
                <w:spacing w:val="10"/>
                <w:sz w:val="32"/>
                <w:szCs w:val="32"/>
              </w:rPr>
              <w:t>3</w:t>
            </w:r>
          </w:p>
        </w:tc>
        <w:tc>
          <w:tcPr>
            <w:tcW w:w="4536" w:type="dxa"/>
            <w:vAlign w:val="center"/>
          </w:tcPr>
          <w:p>
            <w:pPr>
              <w:widowControl/>
              <w:spacing w:line="520" w:lineRule="exact"/>
              <w:jc w:val="left"/>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Cs/>
                <w:spacing w:val="10"/>
                <w:sz w:val="32"/>
                <w:szCs w:val="32"/>
              </w:rPr>
              <w:t>玻璃温室</w:t>
            </w:r>
          </w:p>
        </w:tc>
        <w:tc>
          <w:tcPr>
            <w:tcW w:w="3685" w:type="dxa"/>
            <w:vAlign w:val="center"/>
          </w:tcPr>
          <w:p>
            <w:pPr>
              <w:widowControl/>
              <w:spacing w:line="520" w:lineRule="exact"/>
              <w:jc w:val="center"/>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Cs/>
                <w:spacing w:val="10"/>
                <w:sz w:val="32"/>
                <w:szCs w:val="32"/>
              </w:rPr>
              <w:t>≥3000平方米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01" w:type="dxa"/>
            <w:vAlign w:val="center"/>
          </w:tcPr>
          <w:p>
            <w:pPr>
              <w:widowControl/>
              <w:spacing w:line="520" w:lineRule="exact"/>
              <w:jc w:val="center"/>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Cs/>
                <w:spacing w:val="10"/>
                <w:sz w:val="32"/>
                <w:szCs w:val="32"/>
              </w:rPr>
              <w:t>4</w:t>
            </w:r>
          </w:p>
        </w:tc>
        <w:tc>
          <w:tcPr>
            <w:tcW w:w="4536" w:type="dxa"/>
            <w:vAlign w:val="center"/>
          </w:tcPr>
          <w:p>
            <w:pPr>
              <w:widowControl/>
              <w:spacing w:line="520" w:lineRule="exact"/>
              <w:jc w:val="left"/>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Cs/>
                <w:spacing w:val="10"/>
                <w:sz w:val="32"/>
                <w:szCs w:val="32"/>
              </w:rPr>
              <w:t>智能工厂化菇房</w:t>
            </w:r>
          </w:p>
        </w:tc>
        <w:tc>
          <w:tcPr>
            <w:tcW w:w="3685" w:type="dxa"/>
            <w:vAlign w:val="center"/>
          </w:tcPr>
          <w:p>
            <w:pPr>
              <w:widowControl/>
              <w:spacing w:line="520" w:lineRule="exact"/>
              <w:jc w:val="center"/>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Cs/>
                <w:spacing w:val="10"/>
                <w:sz w:val="32"/>
                <w:szCs w:val="32"/>
              </w:rPr>
              <w:t>≥4000平方米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01" w:type="dxa"/>
            <w:vAlign w:val="center"/>
          </w:tcPr>
          <w:p>
            <w:pPr>
              <w:widowControl/>
              <w:spacing w:line="520" w:lineRule="exact"/>
              <w:jc w:val="center"/>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Cs/>
                <w:spacing w:val="10"/>
                <w:sz w:val="32"/>
                <w:szCs w:val="32"/>
              </w:rPr>
              <w:t>5</w:t>
            </w:r>
          </w:p>
        </w:tc>
        <w:tc>
          <w:tcPr>
            <w:tcW w:w="4536" w:type="dxa"/>
            <w:vAlign w:val="center"/>
          </w:tcPr>
          <w:p>
            <w:pPr>
              <w:widowControl/>
              <w:spacing w:line="520" w:lineRule="exact"/>
              <w:jc w:val="left"/>
              <w:rPr>
                <w:rFonts w:ascii="Times New Roman" w:hAnsi="Times New Roman" w:eastAsia="方正公文仿宋" w:cs="Times New Roman"/>
                <w:bCs/>
                <w:spacing w:val="10"/>
                <w:sz w:val="32"/>
                <w:szCs w:val="32"/>
              </w:rPr>
            </w:pPr>
            <w:r>
              <w:rPr>
                <w:rFonts w:ascii="Times New Roman" w:hAnsi="Times New Roman" w:eastAsia="方正公文仿宋" w:cs="Times New Roman"/>
                <w:bCs/>
                <w:spacing w:val="10"/>
                <w:sz w:val="32"/>
                <w:szCs w:val="32"/>
              </w:rPr>
              <w:t>高架式水平防虫网</w:t>
            </w:r>
          </w:p>
        </w:tc>
        <w:tc>
          <w:tcPr>
            <w:tcW w:w="3685" w:type="dxa"/>
            <w:vAlign w:val="center"/>
          </w:tcPr>
          <w:p>
            <w:pPr>
              <w:widowControl/>
              <w:spacing w:line="520" w:lineRule="exact"/>
              <w:jc w:val="center"/>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Cs/>
                <w:spacing w:val="10"/>
                <w:sz w:val="32"/>
                <w:szCs w:val="32"/>
              </w:rPr>
              <w:t>≥30亩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01" w:type="dxa"/>
            <w:vAlign w:val="center"/>
          </w:tcPr>
          <w:p>
            <w:pPr>
              <w:widowControl/>
              <w:spacing w:line="520" w:lineRule="exact"/>
              <w:jc w:val="center"/>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Cs/>
                <w:spacing w:val="10"/>
                <w:sz w:val="32"/>
                <w:szCs w:val="32"/>
              </w:rPr>
              <w:t>6</w:t>
            </w:r>
          </w:p>
        </w:tc>
        <w:tc>
          <w:tcPr>
            <w:tcW w:w="4536" w:type="dxa"/>
            <w:vAlign w:val="center"/>
          </w:tcPr>
          <w:p>
            <w:pPr>
              <w:widowControl/>
              <w:spacing w:line="520" w:lineRule="exact"/>
              <w:jc w:val="left"/>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Cs/>
                <w:spacing w:val="10"/>
                <w:sz w:val="32"/>
                <w:szCs w:val="32"/>
              </w:rPr>
              <w:t>喷滴灌</w:t>
            </w:r>
          </w:p>
        </w:tc>
        <w:tc>
          <w:tcPr>
            <w:tcW w:w="3685" w:type="dxa"/>
            <w:vAlign w:val="center"/>
          </w:tcPr>
          <w:p>
            <w:pPr>
              <w:widowControl/>
              <w:spacing w:line="520" w:lineRule="exact"/>
              <w:jc w:val="center"/>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Cs/>
                <w:spacing w:val="10"/>
                <w:sz w:val="32"/>
                <w:szCs w:val="32"/>
              </w:rPr>
              <w:t>≥100亩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01" w:type="dxa"/>
            <w:vAlign w:val="center"/>
          </w:tcPr>
          <w:p>
            <w:pPr>
              <w:widowControl/>
              <w:spacing w:line="520" w:lineRule="exact"/>
              <w:jc w:val="center"/>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Cs/>
                <w:spacing w:val="10"/>
                <w:sz w:val="32"/>
                <w:szCs w:val="32"/>
              </w:rPr>
              <w:t>7</w:t>
            </w:r>
          </w:p>
        </w:tc>
        <w:tc>
          <w:tcPr>
            <w:tcW w:w="4536" w:type="dxa"/>
            <w:vAlign w:val="center"/>
          </w:tcPr>
          <w:p>
            <w:pPr>
              <w:widowControl/>
              <w:spacing w:line="520" w:lineRule="exact"/>
              <w:jc w:val="left"/>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Cs/>
                <w:spacing w:val="10"/>
                <w:sz w:val="32"/>
                <w:szCs w:val="32"/>
              </w:rPr>
              <w:t>10-20米宽体钢架大棚</w:t>
            </w:r>
          </w:p>
        </w:tc>
        <w:tc>
          <w:tcPr>
            <w:tcW w:w="3685" w:type="dxa"/>
            <w:vAlign w:val="center"/>
          </w:tcPr>
          <w:p>
            <w:pPr>
              <w:widowControl/>
              <w:spacing w:line="520" w:lineRule="exact"/>
              <w:jc w:val="center"/>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Cs/>
                <w:spacing w:val="10"/>
                <w:sz w:val="32"/>
                <w:szCs w:val="32"/>
              </w:rPr>
              <w:t>≥10亩</w:t>
            </w:r>
          </w:p>
        </w:tc>
      </w:tr>
    </w:tbl>
    <w:p>
      <w:pPr>
        <w:adjustRightInd w:val="0"/>
        <w:snapToGrid w:val="0"/>
        <w:spacing w:line="590" w:lineRule="exact"/>
        <w:rPr>
          <w:rFonts w:ascii="Times New Roman" w:hAnsi="Times New Roman" w:eastAsia="仿宋_GB2312" w:cs="Times New Roman"/>
          <w:sz w:val="32"/>
          <w:szCs w:val="32"/>
        </w:rPr>
      </w:pPr>
    </w:p>
    <w:p>
      <w:pPr>
        <w:adjustRightInd w:val="0"/>
        <w:snapToGrid w:val="0"/>
        <w:spacing w:line="590" w:lineRule="exact"/>
        <w:rPr>
          <w:rFonts w:ascii="Times New Roman" w:hAnsi="Times New Roman" w:eastAsia="仿宋_GB2312" w:cs="Times New Roman"/>
          <w:sz w:val="32"/>
          <w:szCs w:val="32"/>
        </w:rPr>
      </w:pPr>
    </w:p>
    <w:p>
      <w:pPr>
        <w:adjustRightInd w:val="0"/>
        <w:snapToGrid w:val="0"/>
        <w:spacing w:line="590" w:lineRule="exact"/>
        <w:rPr>
          <w:rFonts w:ascii="Times New Roman" w:hAnsi="Times New Roman" w:eastAsia="仿宋_GB2312" w:cs="Times New Roman"/>
          <w:sz w:val="32"/>
          <w:szCs w:val="32"/>
        </w:rPr>
      </w:pPr>
    </w:p>
    <w:p>
      <w:pPr>
        <w:adjustRightInd w:val="0"/>
        <w:snapToGrid w:val="0"/>
        <w:spacing w:line="590" w:lineRule="exact"/>
        <w:jc w:val="left"/>
        <w:rPr>
          <w:rFonts w:ascii="Times New Roman" w:hAnsi="Times New Roman" w:eastAsia="仿宋_GB2312" w:cs="Times New Roman"/>
          <w:sz w:val="32"/>
          <w:szCs w:val="32"/>
        </w:rPr>
      </w:pPr>
      <w:r>
        <w:rPr>
          <w:rFonts w:hint="eastAsia" w:ascii="Times New Roman" w:hAnsi="方正公文仿宋" w:eastAsia="方正公文仿宋" w:cs="宋体"/>
          <w:bCs/>
          <w:kern w:val="0"/>
          <w:sz w:val="32"/>
          <w:szCs w:val="32"/>
        </w:rPr>
        <w:t xml:space="preserve">附件3 </w:t>
      </w:r>
      <w:r>
        <w:rPr>
          <w:rFonts w:hint="eastAsia" w:ascii="Times New Roman" w:hAnsi="Times New Roman" w:eastAsia="仿宋_GB2312" w:cs="Times New Roman"/>
          <w:sz w:val="32"/>
          <w:szCs w:val="32"/>
        </w:rPr>
        <w:t xml:space="preserve">       </w:t>
      </w:r>
    </w:p>
    <w:p>
      <w:pPr>
        <w:spacing w:line="660" w:lineRule="exact"/>
        <w:jc w:val="center"/>
        <w:rPr>
          <w:rFonts w:ascii="Times New Roman" w:hAnsi="Times New Roman" w:eastAsia="方正公文小标宋" w:cs="Times New Roman"/>
          <w:sz w:val="44"/>
          <w:szCs w:val="44"/>
        </w:rPr>
      </w:pPr>
    </w:p>
    <w:p>
      <w:pPr>
        <w:spacing w:line="660" w:lineRule="exact"/>
        <w:jc w:val="center"/>
        <w:rPr>
          <w:rFonts w:ascii="Times New Roman" w:hAnsi="方正公文小标宋" w:eastAsia="方正公文小标宋" w:cs="宋体"/>
          <w:bCs/>
          <w:kern w:val="0"/>
          <w:sz w:val="44"/>
          <w:szCs w:val="44"/>
        </w:rPr>
      </w:pPr>
      <w:r>
        <w:rPr>
          <w:rFonts w:hint="eastAsia" w:ascii="Times New Roman" w:hAnsi="Times New Roman" w:eastAsia="方正公文小标宋" w:cs="Times New Roman"/>
          <w:sz w:val="44"/>
          <w:szCs w:val="44"/>
        </w:rPr>
        <w:t>2022-2023年第二批结余资金项目</w:t>
      </w:r>
      <w:r>
        <w:rPr>
          <w:rFonts w:hint="eastAsia" w:ascii="Times New Roman" w:hAnsi="方正公文小标宋" w:eastAsia="方正公文小标宋" w:cs="宋体"/>
          <w:bCs/>
          <w:kern w:val="0"/>
          <w:sz w:val="44"/>
          <w:szCs w:val="44"/>
        </w:rPr>
        <w:t>申报表</w:t>
      </w:r>
    </w:p>
    <w:p>
      <w:pPr>
        <w:adjustRightInd w:val="0"/>
        <w:snapToGrid w:val="0"/>
        <w:spacing w:line="590" w:lineRule="exact"/>
        <w:jc w:val="left"/>
        <w:rPr>
          <w:rFonts w:ascii="Times New Roman" w:hAnsi="Times New Roman" w:eastAsia="方正公文小标宋" w:cs="宋体"/>
          <w:bCs/>
          <w:kern w:val="0"/>
          <w:sz w:val="44"/>
          <w:szCs w:val="44"/>
        </w:rPr>
      </w:pPr>
      <w:r>
        <w:rPr>
          <w:rFonts w:ascii="宋体" w:hAnsi="宋体" w:cs="Calibri"/>
          <w:b/>
          <w:bCs/>
          <w:kern w:val="0"/>
          <w:sz w:val="20"/>
          <w:szCs w:val="20"/>
        </w:rPr>
        <w:t>农服中心负责人签字：</w:t>
      </w:r>
      <w:r>
        <w:rPr>
          <w:rFonts w:hint="eastAsia" w:ascii="宋体" w:hAnsi="宋体" w:cs="Calibri"/>
          <w:b/>
          <w:bCs/>
          <w:kern w:val="0"/>
          <w:sz w:val="20"/>
          <w:szCs w:val="20"/>
        </w:rPr>
        <w:t xml:space="preserve">         镇街领导签字：                镇街（盖章）：</w:t>
      </w:r>
    </w:p>
    <w:tbl>
      <w:tblPr>
        <w:tblStyle w:val="7"/>
        <w:tblW w:w="8662" w:type="dxa"/>
        <w:tblInd w:w="93" w:type="dxa"/>
        <w:tblLayout w:type="autofit"/>
        <w:tblCellMar>
          <w:top w:w="0" w:type="dxa"/>
          <w:left w:w="108" w:type="dxa"/>
          <w:bottom w:w="0" w:type="dxa"/>
          <w:right w:w="108" w:type="dxa"/>
        </w:tblCellMar>
      </w:tblPr>
      <w:tblGrid>
        <w:gridCol w:w="724"/>
        <w:gridCol w:w="709"/>
        <w:gridCol w:w="709"/>
        <w:gridCol w:w="1275"/>
        <w:gridCol w:w="1560"/>
        <w:gridCol w:w="850"/>
        <w:gridCol w:w="851"/>
        <w:gridCol w:w="1134"/>
        <w:gridCol w:w="850"/>
      </w:tblGrid>
      <w:tr>
        <w:tblPrEx>
          <w:tblCellMar>
            <w:top w:w="0" w:type="dxa"/>
            <w:left w:w="108" w:type="dxa"/>
            <w:bottom w:w="0" w:type="dxa"/>
            <w:right w:w="108" w:type="dxa"/>
          </w:tblCellMar>
        </w:tblPrEx>
        <w:trPr>
          <w:trHeight w:val="908" w:hRule="atLeast"/>
        </w:trPr>
        <w:tc>
          <w:tcPr>
            <w:tcW w:w="72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Calibri"/>
                <w:b/>
                <w:bCs/>
                <w:kern w:val="0"/>
                <w:sz w:val="20"/>
                <w:szCs w:val="20"/>
              </w:rPr>
            </w:pPr>
            <w:r>
              <w:rPr>
                <w:rFonts w:hint="eastAsia" w:ascii="宋体" w:hAnsi="宋体" w:cs="Calibri"/>
                <w:b/>
                <w:bCs/>
                <w:kern w:val="0"/>
                <w:sz w:val="20"/>
                <w:szCs w:val="20"/>
              </w:rPr>
              <w:t>序号</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Calibri"/>
                <w:b/>
                <w:bCs/>
                <w:kern w:val="0"/>
                <w:sz w:val="20"/>
                <w:szCs w:val="20"/>
              </w:rPr>
            </w:pPr>
            <w:r>
              <w:rPr>
                <w:rFonts w:hint="eastAsia" w:ascii="宋体" w:hAnsi="宋体" w:cs="Calibri"/>
                <w:b/>
                <w:bCs/>
                <w:kern w:val="0"/>
                <w:sz w:val="20"/>
                <w:szCs w:val="20"/>
              </w:rPr>
              <w:t>街镇</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Calibri"/>
                <w:b/>
                <w:bCs/>
                <w:kern w:val="0"/>
                <w:sz w:val="20"/>
                <w:szCs w:val="20"/>
              </w:rPr>
            </w:pPr>
            <w:r>
              <w:rPr>
                <w:rFonts w:hint="eastAsia" w:ascii="宋体" w:hAnsi="宋体" w:cs="Calibri"/>
                <w:b/>
                <w:bCs/>
                <w:kern w:val="0"/>
                <w:sz w:val="20"/>
                <w:szCs w:val="20"/>
              </w:rPr>
              <w:t>项目名称</w:t>
            </w:r>
          </w:p>
        </w:tc>
        <w:tc>
          <w:tcPr>
            <w:tcW w:w="127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Calibri"/>
                <w:b/>
                <w:bCs/>
                <w:kern w:val="0"/>
                <w:sz w:val="20"/>
                <w:szCs w:val="20"/>
              </w:rPr>
            </w:pPr>
            <w:r>
              <w:rPr>
                <w:rFonts w:hint="eastAsia" w:ascii="宋体" w:hAnsi="宋体" w:cs="Calibri"/>
                <w:b/>
                <w:bCs/>
                <w:kern w:val="0"/>
                <w:sz w:val="20"/>
                <w:szCs w:val="20"/>
              </w:rPr>
              <w:t>项目总投资额(万元)</w:t>
            </w:r>
          </w:p>
        </w:tc>
        <w:tc>
          <w:tcPr>
            <w:tcW w:w="1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Calibri"/>
                <w:b/>
                <w:bCs/>
                <w:kern w:val="0"/>
                <w:sz w:val="20"/>
                <w:szCs w:val="20"/>
              </w:rPr>
            </w:pPr>
            <w:r>
              <w:rPr>
                <w:rFonts w:hint="eastAsia" w:ascii="宋体" w:hAnsi="宋体" w:cs="Calibri"/>
                <w:b/>
                <w:bCs/>
                <w:kern w:val="0"/>
                <w:sz w:val="20"/>
                <w:szCs w:val="20"/>
              </w:rPr>
              <w:t>申请资金补助</w:t>
            </w:r>
            <w:r>
              <w:rPr>
                <w:rFonts w:hint="eastAsia" w:ascii="宋体" w:hAnsi="宋体" w:cs="Calibri"/>
                <w:b/>
                <w:bCs/>
                <w:kern w:val="0"/>
                <w:sz w:val="20"/>
                <w:szCs w:val="20"/>
              </w:rPr>
              <w:br w:type="textWrapping"/>
            </w:r>
            <w:r>
              <w:rPr>
                <w:rFonts w:hint="eastAsia" w:ascii="宋体" w:hAnsi="宋体" w:cs="Calibri"/>
                <w:b/>
                <w:bCs/>
                <w:kern w:val="0"/>
                <w:sz w:val="20"/>
                <w:szCs w:val="20"/>
              </w:rPr>
              <w:t>(万元)</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Calibri"/>
                <w:b/>
                <w:bCs/>
                <w:kern w:val="0"/>
                <w:sz w:val="20"/>
                <w:szCs w:val="20"/>
              </w:rPr>
            </w:pPr>
            <w:r>
              <w:rPr>
                <w:rFonts w:hint="eastAsia" w:ascii="宋体" w:hAnsi="宋体" w:cs="Calibri"/>
                <w:b/>
                <w:bCs/>
                <w:kern w:val="0"/>
                <w:sz w:val="20"/>
                <w:szCs w:val="20"/>
              </w:rPr>
              <w:t>项目实施单位</w:t>
            </w:r>
          </w:p>
        </w:tc>
        <w:tc>
          <w:tcPr>
            <w:tcW w:w="85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Calibri"/>
                <w:b/>
                <w:bCs/>
                <w:kern w:val="0"/>
                <w:sz w:val="20"/>
                <w:szCs w:val="20"/>
              </w:rPr>
            </w:pPr>
            <w:r>
              <w:rPr>
                <w:rFonts w:hint="eastAsia" w:ascii="宋体" w:hAnsi="宋体" w:cs="Calibri"/>
                <w:b/>
                <w:bCs/>
                <w:kern w:val="0"/>
                <w:sz w:val="20"/>
                <w:szCs w:val="20"/>
              </w:rPr>
              <w:t>项目实施内容</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Calibri"/>
                <w:b/>
                <w:bCs/>
                <w:kern w:val="0"/>
                <w:sz w:val="20"/>
                <w:szCs w:val="20"/>
              </w:rPr>
            </w:pPr>
            <w:r>
              <w:rPr>
                <w:rFonts w:hint="eastAsia" w:ascii="宋体" w:hAnsi="宋体" w:cs="Calibri"/>
                <w:b/>
                <w:bCs/>
                <w:kern w:val="0"/>
                <w:sz w:val="20"/>
                <w:szCs w:val="20"/>
              </w:rPr>
              <w:t>项目单位联系人</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Calibri"/>
                <w:b/>
                <w:bCs/>
                <w:kern w:val="0"/>
                <w:sz w:val="20"/>
                <w:szCs w:val="20"/>
              </w:rPr>
            </w:pPr>
            <w:r>
              <w:rPr>
                <w:rFonts w:hint="eastAsia" w:ascii="宋体" w:hAnsi="宋体" w:cs="Calibri"/>
                <w:b/>
                <w:bCs/>
                <w:kern w:val="0"/>
                <w:sz w:val="20"/>
                <w:szCs w:val="20"/>
              </w:rPr>
              <w:t>联系</w:t>
            </w:r>
          </w:p>
          <w:p>
            <w:pPr>
              <w:widowControl/>
              <w:jc w:val="center"/>
              <w:rPr>
                <w:rFonts w:ascii="宋体" w:hAnsi="宋体" w:cs="Calibri"/>
                <w:b/>
                <w:bCs/>
                <w:kern w:val="0"/>
                <w:sz w:val="20"/>
                <w:szCs w:val="20"/>
              </w:rPr>
            </w:pPr>
            <w:r>
              <w:rPr>
                <w:rFonts w:hint="eastAsia" w:ascii="宋体" w:hAnsi="宋体" w:cs="Calibri"/>
                <w:b/>
                <w:bCs/>
                <w:kern w:val="0"/>
                <w:sz w:val="20"/>
                <w:szCs w:val="20"/>
              </w:rPr>
              <w:t>方式</w:t>
            </w:r>
          </w:p>
        </w:tc>
      </w:tr>
      <w:tr>
        <w:tblPrEx>
          <w:tblCellMar>
            <w:top w:w="0" w:type="dxa"/>
            <w:left w:w="108" w:type="dxa"/>
            <w:bottom w:w="0" w:type="dxa"/>
            <w:right w:w="108" w:type="dxa"/>
          </w:tblCellMar>
        </w:tblPrEx>
        <w:trPr>
          <w:trHeight w:val="87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r>
      <w:tr>
        <w:tblPrEx>
          <w:tblCellMar>
            <w:top w:w="0" w:type="dxa"/>
            <w:left w:w="108" w:type="dxa"/>
            <w:bottom w:w="0" w:type="dxa"/>
            <w:right w:w="108" w:type="dxa"/>
          </w:tblCellMar>
        </w:tblPrEx>
        <w:trPr>
          <w:trHeight w:val="831"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r>
      <w:tr>
        <w:tblPrEx>
          <w:tblCellMar>
            <w:top w:w="0" w:type="dxa"/>
            <w:left w:w="108" w:type="dxa"/>
            <w:bottom w:w="0" w:type="dxa"/>
            <w:right w:w="108" w:type="dxa"/>
          </w:tblCellMar>
        </w:tblPrEx>
        <w:trPr>
          <w:trHeight w:val="843"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Calibri"/>
                <w:kern w:val="0"/>
                <w:sz w:val="20"/>
                <w:szCs w:val="20"/>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Calibri"/>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r>
      <w:tr>
        <w:tblPrEx>
          <w:tblCellMar>
            <w:top w:w="0" w:type="dxa"/>
            <w:left w:w="108" w:type="dxa"/>
            <w:bottom w:w="0" w:type="dxa"/>
            <w:right w:w="108" w:type="dxa"/>
          </w:tblCellMar>
        </w:tblPrEx>
        <w:trPr>
          <w:trHeight w:val="85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r>
      <w:tr>
        <w:tblPrEx>
          <w:tblCellMar>
            <w:top w:w="0" w:type="dxa"/>
            <w:left w:w="108" w:type="dxa"/>
            <w:bottom w:w="0" w:type="dxa"/>
            <w:right w:w="108" w:type="dxa"/>
          </w:tblCellMar>
        </w:tblPrEx>
        <w:trPr>
          <w:trHeight w:val="838"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r>
      <w:tr>
        <w:tblPrEx>
          <w:tblCellMar>
            <w:top w:w="0" w:type="dxa"/>
            <w:left w:w="108" w:type="dxa"/>
            <w:bottom w:w="0" w:type="dxa"/>
            <w:right w:w="108" w:type="dxa"/>
          </w:tblCellMar>
        </w:tblPrEx>
        <w:trPr>
          <w:trHeight w:val="837"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r>
      <w:tr>
        <w:tblPrEx>
          <w:tblCellMar>
            <w:top w:w="0" w:type="dxa"/>
            <w:left w:w="108" w:type="dxa"/>
            <w:bottom w:w="0" w:type="dxa"/>
            <w:right w:w="108" w:type="dxa"/>
          </w:tblCellMar>
        </w:tblPrEx>
        <w:trPr>
          <w:trHeight w:val="849"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r>
      <w:tr>
        <w:tblPrEx>
          <w:tblCellMar>
            <w:top w:w="0" w:type="dxa"/>
            <w:left w:w="108" w:type="dxa"/>
            <w:bottom w:w="0" w:type="dxa"/>
            <w:right w:w="108" w:type="dxa"/>
          </w:tblCellMar>
        </w:tblPrEx>
        <w:trPr>
          <w:trHeight w:val="833"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kern w:val="0"/>
                <w:sz w:val="20"/>
                <w:szCs w:val="20"/>
              </w:rPr>
            </w:pPr>
          </w:p>
        </w:tc>
      </w:tr>
    </w:tbl>
    <w:p>
      <w:pPr>
        <w:adjustRightInd w:val="0"/>
        <w:snapToGrid w:val="0"/>
        <w:spacing w:line="590" w:lineRule="exact"/>
        <w:rPr>
          <w:rFonts w:ascii="Times New Roman" w:hAnsi="Times New Roman" w:eastAsia="仿宋_GB2312" w:cs="Times New Roman"/>
          <w:sz w:val="32"/>
          <w:szCs w:val="32"/>
        </w:rPr>
      </w:pPr>
    </w:p>
    <w:sectPr>
      <w:headerReference r:id="rId3" w:type="default"/>
      <w:pgSz w:w="11906" w:h="16838"/>
      <w:pgMar w:top="2098" w:right="1474" w:bottom="1701" w:left="1588" w:header="0" w:footer="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 w:name="方正公文楷体">
    <w:panose1 w:val="02000500000000000000"/>
    <w:charset w:val="86"/>
    <w:family w:val="auto"/>
    <w:pitch w:val="default"/>
    <w:sig w:usb0="A00002BF" w:usb1="38CF7CFA" w:usb2="00000016" w:usb3="00000000" w:csb0="00040001" w:csb1="00000000"/>
  </w:font>
  <w:font w:name="方正公文仿宋">
    <w:panose1 w:val="02000500000000000000"/>
    <w:charset w:val="86"/>
    <w:family w:val="auto"/>
    <w:pitch w:val="default"/>
    <w:sig w:usb0="A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8840F2"/>
    <w:rsid w:val="000019AF"/>
    <w:rsid w:val="0001460A"/>
    <w:rsid w:val="00031F25"/>
    <w:rsid w:val="000372F5"/>
    <w:rsid w:val="000409BE"/>
    <w:rsid w:val="00044C42"/>
    <w:rsid w:val="00061BB9"/>
    <w:rsid w:val="00061E7D"/>
    <w:rsid w:val="000655D5"/>
    <w:rsid w:val="00075D36"/>
    <w:rsid w:val="00083F4E"/>
    <w:rsid w:val="0009391F"/>
    <w:rsid w:val="000A5057"/>
    <w:rsid w:val="000C44E5"/>
    <w:rsid w:val="000D785A"/>
    <w:rsid w:val="000E0C13"/>
    <w:rsid w:val="000E1BA5"/>
    <w:rsid w:val="000E5207"/>
    <w:rsid w:val="000E7AD6"/>
    <w:rsid w:val="00103E55"/>
    <w:rsid w:val="00105385"/>
    <w:rsid w:val="00116392"/>
    <w:rsid w:val="00130C57"/>
    <w:rsid w:val="00131623"/>
    <w:rsid w:val="001317D8"/>
    <w:rsid w:val="0013513B"/>
    <w:rsid w:val="00136436"/>
    <w:rsid w:val="00143BDB"/>
    <w:rsid w:val="00146E4A"/>
    <w:rsid w:val="00152EEB"/>
    <w:rsid w:val="00161BD8"/>
    <w:rsid w:val="00184343"/>
    <w:rsid w:val="00191A13"/>
    <w:rsid w:val="001934F4"/>
    <w:rsid w:val="001A310F"/>
    <w:rsid w:val="001C396A"/>
    <w:rsid w:val="001C567E"/>
    <w:rsid w:val="001D04A8"/>
    <w:rsid w:val="001F1FEC"/>
    <w:rsid w:val="0020446E"/>
    <w:rsid w:val="00205B09"/>
    <w:rsid w:val="00231098"/>
    <w:rsid w:val="00232AA3"/>
    <w:rsid w:val="00240CDC"/>
    <w:rsid w:val="002519CE"/>
    <w:rsid w:val="00263F3D"/>
    <w:rsid w:val="00270036"/>
    <w:rsid w:val="00282AE1"/>
    <w:rsid w:val="00292257"/>
    <w:rsid w:val="0029343E"/>
    <w:rsid w:val="002A3082"/>
    <w:rsid w:val="002A508C"/>
    <w:rsid w:val="002A555C"/>
    <w:rsid w:val="002A7C4C"/>
    <w:rsid w:val="002F4165"/>
    <w:rsid w:val="00300EDA"/>
    <w:rsid w:val="00303758"/>
    <w:rsid w:val="00303D1F"/>
    <w:rsid w:val="003216CB"/>
    <w:rsid w:val="00343CB0"/>
    <w:rsid w:val="00361BD1"/>
    <w:rsid w:val="00366732"/>
    <w:rsid w:val="0037094E"/>
    <w:rsid w:val="00376430"/>
    <w:rsid w:val="00381699"/>
    <w:rsid w:val="00386530"/>
    <w:rsid w:val="00387B5D"/>
    <w:rsid w:val="00391D93"/>
    <w:rsid w:val="00396465"/>
    <w:rsid w:val="003B2AE3"/>
    <w:rsid w:val="003B4AEE"/>
    <w:rsid w:val="003D5DC0"/>
    <w:rsid w:val="003F76C5"/>
    <w:rsid w:val="00400F14"/>
    <w:rsid w:val="00405938"/>
    <w:rsid w:val="004230F1"/>
    <w:rsid w:val="00424EE0"/>
    <w:rsid w:val="00427EA9"/>
    <w:rsid w:val="00434991"/>
    <w:rsid w:val="004510CA"/>
    <w:rsid w:val="004562E3"/>
    <w:rsid w:val="00462E0B"/>
    <w:rsid w:val="004657FA"/>
    <w:rsid w:val="00470A9D"/>
    <w:rsid w:val="00474714"/>
    <w:rsid w:val="00477F8D"/>
    <w:rsid w:val="00483257"/>
    <w:rsid w:val="004867DC"/>
    <w:rsid w:val="00495C12"/>
    <w:rsid w:val="004B6022"/>
    <w:rsid w:val="004D6558"/>
    <w:rsid w:val="00510288"/>
    <w:rsid w:val="00514A15"/>
    <w:rsid w:val="005252A0"/>
    <w:rsid w:val="005341F2"/>
    <w:rsid w:val="00543A1F"/>
    <w:rsid w:val="00562D53"/>
    <w:rsid w:val="00566787"/>
    <w:rsid w:val="00580CF9"/>
    <w:rsid w:val="00587D4B"/>
    <w:rsid w:val="005A1635"/>
    <w:rsid w:val="005A16DB"/>
    <w:rsid w:val="005B66DC"/>
    <w:rsid w:val="005D08C6"/>
    <w:rsid w:val="005D1344"/>
    <w:rsid w:val="005E475D"/>
    <w:rsid w:val="005E5F8C"/>
    <w:rsid w:val="00610738"/>
    <w:rsid w:val="00610B7D"/>
    <w:rsid w:val="00616FAD"/>
    <w:rsid w:val="00623754"/>
    <w:rsid w:val="006250E3"/>
    <w:rsid w:val="00635B52"/>
    <w:rsid w:val="0063701A"/>
    <w:rsid w:val="0063728F"/>
    <w:rsid w:val="00640FDD"/>
    <w:rsid w:val="00650A41"/>
    <w:rsid w:val="006511C5"/>
    <w:rsid w:val="0068683A"/>
    <w:rsid w:val="00691617"/>
    <w:rsid w:val="006A24E8"/>
    <w:rsid w:val="006D0444"/>
    <w:rsid w:val="006D3DD9"/>
    <w:rsid w:val="006D7A0F"/>
    <w:rsid w:val="0070379F"/>
    <w:rsid w:val="00715A6E"/>
    <w:rsid w:val="00721EF5"/>
    <w:rsid w:val="00736A5C"/>
    <w:rsid w:val="00740C61"/>
    <w:rsid w:val="0075237D"/>
    <w:rsid w:val="00753293"/>
    <w:rsid w:val="007762C2"/>
    <w:rsid w:val="0078098A"/>
    <w:rsid w:val="00791A85"/>
    <w:rsid w:val="00793D7E"/>
    <w:rsid w:val="007A42BD"/>
    <w:rsid w:val="007B1C9C"/>
    <w:rsid w:val="007B4B1F"/>
    <w:rsid w:val="007C4E60"/>
    <w:rsid w:val="007C625E"/>
    <w:rsid w:val="007D0278"/>
    <w:rsid w:val="007D348A"/>
    <w:rsid w:val="007D37D4"/>
    <w:rsid w:val="007D786E"/>
    <w:rsid w:val="007E1D71"/>
    <w:rsid w:val="007F24FD"/>
    <w:rsid w:val="008156C8"/>
    <w:rsid w:val="008252BB"/>
    <w:rsid w:val="00825B26"/>
    <w:rsid w:val="00837CE7"/>
    <w:rsid w:val="00853816"/>
    <w:rsid w:val="00870F51"/>
    <w:rsid w:val="00873040"/>
    <w:rsid w:val="008769EE"/>
    <w:rsid w:val="00887491"/>
    <w:rsid w:val="00893A84"/>
    <w:rsid w:val="008945CC"/>
    <w:rsid w:val="008A0CA4"/>
    <w:rsid w:val="008B01C0"/>
    <w:rsid w:val="008B0BB9"/>
    <w:rsid w:val="008E0228"/>
    <w:rsid w:val="008F334B"/>
    <w:rsid w:val="008F574E"/>
    <w:rsid w:val="00905098"/>
    <w:rsid w:val="009074C2"/>
    <w:rsid w:val="009213C1"/>
    <w:rsid w:val="00924106"/>
    <w:rsid w:val="00965A1F"/>
    <w:rsid w:val="00971D3C"/>
    <w:rsid w:val="00980B07"/>
    <w:rsid w:val="00983B0D"/>
    <w:rsid w:val="009867AE"/>
    <w:rsid w:val="00995E99"/>
    <w:rsid w:val="009A19D0"/>
    <w:rsid w:val="009C21B3"/>
    <w:rsid w:val="009C2E69"/>
    <w:rsid w:val="009C777E"/>
    <w:rsid w:val="009E1EC1"/>
    <w:rsid w:val="009E37B2"/>
    <w:rsid w:val="009F0384"/>
    <w:rsid w:val="009F5722"/>
    <w:rsid w:val="00A00EB0"/>
    <w:rsid w:val="00A07486"/>
    <w:rsid w:val="00A13EA2"/>
    <w:rsid w:val="00A20C11"/>
    <w:rsid w:val="00A41CD7"/>
    <w:rsid w:val="00A55BDD"/>
    <w:rsid w:val="00A649FC"/>
    <w:rsid w:val="00A667E3"/>
    <w:rsid w:val="00A82605"/>
    <w:rsid w:val="00AA7A50"/>
    <w:rsid w:val="00AB0D59"/>
    <w:rsid w:val="00AB6FBA"/>
    <w:rsid w:val="00AE0116"/>
    <w:rsid w:val="00AE4868"/>
    <w:rsid w:val="00AE6BAD"/>
    <w:rsid w:val="00AF0F65"/>
    <w:rsid w:val="00B06C5A"/>
    <w:rsid w:val="00B116ED"/>
    <w:rsid w:val="00B11E7E"/>
    <w:rsid w:val="00B23141"/>
    <w:rsid w:val="00B24E38"/>
    <w:rsid w:val="00B37620"/>
    <w:rsid w:val="00B44AAF"/>
    <w:rsid w:val="00B71824"/>
    <w:rsid w:val="00B74D60"/>
    <w:rsid w:val="00B7794D"/>
    <w:rsid w:val="00B84279"/>
    <w:rsid w:val="00BA01D9"/>
    <w:rsid w:val="00BB19BF"/>
    <w:rsid w:val="00BC0340"/>
    <w:rsid w:val="00BC1B2B"/>
    <w:rsid w:val="00BC474D"/>
    <w:rsid w:val="00BF06F7"/>
    <w:rsid w:val="00BF0733"/>
    <w:rsid w:val="00BF3FD0"/>
    <w:rsid w:val="00BF77E0"/>
    <w:rsid w:val="00BF78C7"/>
    <w:rsid w:val="00C05CC6"/>
    <w:rsid w:val="00C0751D"/>
    <w:rsid w:val="00C218B9"/>
    <w:rsid w:val="00C27E96"/>
    <w:rsid w:val="00C30964"/>
    <w:rsid w:val="00C31CFE"/>
    <w:rsid w:val="00C37598"/>
    <w:rsid w:val="00C418A6"/>
    <w:rsid w:val="00C60044"/>
    <w:rsid w:val="00C6642A"/>
    <w:rsid w:val="00C90710"/>
    <w:rsid w:val="00C91105"/>
    <w:rsid w:val="00C933AB"/>
    <w:rsid w:val="00C93D8F"/>
    <w:rsid w:val="00CB2E73"/>
    <w:rsid w:val="00CC0267"/>
    <w:rsid w:val="00CE24F8"/>
    <w:rsid w:val="00CF0969"/>
    <w:rsid w:val="00D03AD0"/>
    <w:rsid w:val="00D0543C"/>
    <w:rsid w:val="00D11E94"/>
    <w:rsid w:val="00D17A00"/>
    <w:rsid w:val="00D25754"/>
    <w:rsid w:val="00D3580F"/>
    <w:rsid w:val="00D41EDE"/>
    <w:rsid w:val="00D460E1"/>
    <w:rsid w:val="00D6735C"/>
    <w:rsid w:val="00D84686"/>
    <w:rsid w:val="00D8768E"/>
    <w:rsid w:val="00D97401"/>
    <w:rsid w:val="00DA3BB1"/>
    <w:rsid w:val="00DB2700"/>
    <w:rsid w:val="00DB4646"/>
    <w:rsid w:val="00DB6DFB"/>
    <w:rsid w:val="00DB6E54"/>
    <w:rsid w:val="00DC02C4"/>
    <w:rsid w:val="00DC1615"/>
    <w:rsid w:val="00DC4498"/>
    <w:rsid w:val="00DF65E1"/>
    <w:rsid w:val="00DF78CA"/>
    <w:rsid w:val="00E004CA"/>
    <w:rsid w:val="00E017D0"/>
    <w:rsid w:val="00E03A6F"/>
    <w:rsid w:val="00E0755B"/>
    <w:rsid w:val="00E0771A"/>
    <w:rsid w:val="00E12A0A"/>
    <w:rsid w:val="00E13100"/>
    <w:rsid w:val="00E25B9B"/>
    <w:rsid w:val="00E436CF"/>
    <w:rsid w:val="00E4375C"/>
    <w:rsid w:val="00E462E6"/>
    <w:rsid w:val="00E51774"/>
    <w:rsid w:val="00E52F36"/>
    <w:rsid w:val="00E60618"/>
    <w:rsid w:val="00E6067C"/>
    <w:rsid w:val="00E72C18"/>
    <w:rsid w:val="00E80F09"/>
    <w:rsid w:val="00E87643"/>
    <w:rsid w:val="00E93F64"/>
    <w:rsid w:val="00EA089A"/>
    <w:rsid w:val="00EA37C6"/>
    <w:rsid w:val="00EA39A0"/>
    <w:rsid w:val="00EB0842"/>
    <w:rsid w:val="00EB30E3"/>
    <w:rsid w:val="00EC59DD"/>
    <w:rsid w:val="00EE1542"/>
    <w:rsid w:val="00EE23BD"/>
    <w:rsid w:val="00F0483E"/>
    <w:rsid w:val="00F05D59"/>
    <w:rsid w:val="00F3040F"/>
    <w:rsid w:val="00F34D40"/>
    <w:rsid w:val="00F350C0"/>
    <w:rsid w:val="00F37121"/>
    <w:rsid w:val="00F43ABB"/>
    <w:rsid w:val="00F62236"/>
    <w:rsid w:val="00F6236F"/>
    <w:rsid w:val="00F62479"/>
    <w:rsid w:val="00F66D5C"/>
    <w:rsid w:val="00F71778"/>
    <w:rsid w:val="00F73F1F"/>
    <w:rsid w:val="00F817B1"/>
    <w:rsid w:val="00F87775"/>
    <w:rsid w:val="00FB4140"/>
    <w:rsid w:val="00FC17CF"/>
    <w:rsid w:val="00FE12B0"/>
    <w:rsid w:val="00FE27C4"/>
    <w:rsid w:val="00FE572D"/>
    <w:rsid w:val="00FF364D"/>
    <w:rsid w:val="030A16A0"/>
    <w:rsid w:val="0C4318FF"/>
    <w:rsid w:val="0FB44B3A"/>
    <w:rsid w:val="1047358F"/>
    <w:rsid w:val="13796844"/>
    <w:rsid w:val="142D78E7"/>
    <w:rsid w:val="15641F8E"/>
    <w:rsid w:val="16A34C14"/>
    <w:rsid w:val="16F26997"/>
    <w:rsid w:val="1A3441DE"/>
    <w:rsid w:val="1B050984"/>
    <w:rsid w:val="1DBE582B"/>
    <w:rsid w:val="1F6E0C59"/>
    <w:rsid w:val="252C6F50"/>
    <w:rsid w:val="26A127A5"/>
    <w:rsid w:val="2BF53FD9"/>
    <w:rsid w:val="2DEA4E75"/>
    <w:rsid w:val="32F71F3A"/>
    <w:rsid w:val="3315250F"/>
    <w:rsid w:val="342B0A51"/>
    <w:rsid w:val="3C290F94"/>
    <w:rsid w:val="3CE10F1E"/>
    <w:rsid w:val="41FD76EF"/>
    <w:rsid w:val="450B126C"/>
    <w:rsid w:val="47FE3F5D"/>
    <w:rsid w:val="4A40145E"/>
    <w:rsid w:val="4AA039D7"/>
    <w:rsid w:val="50A83B12"/>
    <w:rsid w:val="513B39A3"/>
    <w:rsid w:val="532608E8"/>
    <w:rsid w:val="58D5160E"/>
    <w:rsid w:val="58EF1B5B"/>
    <w:rsid w:val="594F0C60"/>
    <w:rsid w:val="5F1F2BFA"/>
    <w:rsid w:val="630C3C5B"/>
    <w:rsid w:val="6C176039"/>
    <w:rsid w:val="6D797C04"/>
    <w:rsid w:val="6DA06A16"/>
    <w:rsid w:val="758840F2"/>
    <w:rsid w:val="76B06383"/>
    <w:rsid w:val="773E022B"/>
    <w:rsid w:val="7DC72D47"/>
    <w:rsid w:val="7E6950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qFormat/>
    <w:uiPriority w:val="0"/>
    <w:pPr>
      <w:ind w:left="100" w:leftChars="25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styleId="11">
    <w:name w:val="List Paragraph"/>
    <w:basedOn w:val="1"/>
    <w:qFormat/>
    <w:uiPriority w:val="34"/>
    <w:pPr>
      <w:ind w:firstLine="420" w:firstLineChars="200"/>
    </w:pPr>
  </w:style>
  <w:style w:type="character" w:customStyle="1" w:styleId="12">
    <w:name w:val="日期 Char"/>
    <w:basedOn w:val="9"/>
    <w:link w:val="3"/>
    <w:qFormat/>
    <w:uiPriority w:val="0"/>
    <w:rPr>
      <w:rFonts w:ascii="Calibri" w:hAnsi="Calibri" w:eastAsia="宋体" w:cs="黑体"/>
      <w:kern w:val="2"/>
      <w:sz w:val="21"/>
      <w:szCs w:val="22"/>
    </w:rPr>
  </w:style>
  <w:style w:type="paragraph" w:customStyle="1" w:styleId="13">
    <w:name w:val="A正文"/>
    <w:basedOn w:val="1"/>
    <w:qFormat/>
    <w:uiPriority w:val="0"/>
    <w:pPr>
      <w:ind w:firstLine="200" w:firstLineChars="200"/>
    </w:pPr>
    <w:rPr>
      <w:rFonts w:cs="Times New Roman"/>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DA3FF3-BE89-4ED4-8FEE-FB19214D3679}">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10</Pages>
  <Words>756</Words>
  <Characters>4310</Characters>
  <Lines>35</Lines>
  <Paragraphs>10</Paragraphs>
  <TotalTime>133</TotalTime>
  <ScaleCrop>false</ScaleCrop>
  <LinksUpToDate>false</LinksUpToDate>
  <CharactersWithSpaces>5056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2025-02-11T03:18:00Z</dcterms:created>
  <dc:creator>Administrator</dc:creator>
  <cp:lastModifiedBy>池星辰(chixingchen)</cp:lastModifiedBy>
  <cp:lastPrinted>2024-09-29T06:03:00Z</cp:lastPrinted>
  <dcterms:modified xsi:type="dcterms:W3CDTF">2025-04-27T08:34:29Z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6BBE27F20CF045608ECC229A475578B0</vt:lpwstr>
  </property>
  <property fmtid="{D5CDD505-2E9C-101B-9397-08002B2CF9AE}" pid="4" name="KSOSaveFontToCloudKey">
    <vt:lpwstr>353204610_btnclosed</vt:lpwstr>
  </property>
</Properties>
</file>