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华文中宋"/>
          <w:b/>
          <w:bCs/>
          <w:kern w:val="0"/>
          <w:sz w:val="44"/>
          <w:szCs w:val="44"/>
          <w:lang w:val="en-US" w:eastAsia="zh-CN"/>
        </w:rPr>
      </w:pPr>
      <w:r>
        <w:rPr>
          <w:rFonts w:hint="default" w:ascii="Times New Roman" w:hAnsi="Times New Roman" w:eastAsia="方正公文仿宋" w:cs="Times New Roman"/>
          <w:sz w:val="32"/>
          <w:szCs w:val="32"/>
          <w:lang w:val="en-US" w:eastAsia="zh-CN"/>
        </w:rPr>
        <w:t>附件</w:t>
      </w:r>
      <w:r>
        <w:rPr>
          <w:rFonts w:hint="eastAsia" w:ascii="Times New Roman" w:hAnsi="Times New Roman" w:eastAsia="方正公文仿宋" w:cs="Times New Roman"/>
          <w:sz w:val="32"/>
          <w:szCs w:val="32"/>
          <w:lang w:val="en-US" w:eastAsia="zh-CN"/>
        </w:rPr>
        <w:t>3</w:t>
      </w:r>
      <w:r>
        <w:rPr>
          <w:rFonts w:hint="eastAsia" w:eastAsia="华文中宋"/>
          <w:b/>
          <w:bCs/>
          <w:kern w:val="0"/>
          <w:sz w:val="44"/>
          <w:szCs w:val="44"/>
          <w:lang w:val="en-US" w:eastAsia="zh-CN"/>
        </w:rPr>
        <w:t xml:space="preserve">  </w:t>
      </w:r>
    </w:p>
    <w:p>
      <w:pPr>
        <w:widowControl/>
        <w:spacing w:line="560" w:lineRule="exact"/>
        <w:ind w:firstLine="883" w:firstLineChars="200"/>
        <w:jc w:val="both"/>
        <w:rPr>
          <w:rFonts w:hint="eastAsia" w:eastAsia="华文中宋"/>
          <w:b/>
          <w:bCs/>
          <w:kern w:val="0"/>
          <w:sz w:val="44"/>
          <w:szCs w:val="44"/>
        </w:rPr>
      </w:pPr>
      <w:r>
        <w:rPr>
          <w:rFonts w:eastAsia="华文中宋"/>
          <w:b/>
          <w:bCs/>
          <w:kern w:val="0"/>
          <w:sz w:val="44"/>
          <w:szCs w:val="44"/>
        </w:rPr>
        <w:t>20</w:t>
      </w:r>
      <w:r>
        <w:rPr>
          <w:rFonts w:hint="eastAsia" w:eastAsia="华文中宋"/>
          <w:b/>
          <w:bCs/>
          <w:kern w:val="0"/>
          <w:sz w:val="44"/>
          <w:szCs w:val="44"/>
        </w:rPr>
        <w:t>2</w:t>
      </w:r>
      <w:r>
        <w:rPr>
          <w:rFonts w:hint="eastAsia" w:eastAsia="华文中宋"/>
          <w:b/>
          <w:bCs/>
          <w:kern w:val="0"/>
          <w:sz w:val="44"/>
          <w:szCs w:val="44"/>
          <w:lang w:val="en-US" w:eastAsia="zh-CN"/>
        </w:rPr>
        <w:t>5</w:t>
      </w:r>
      <w:r>
        <w:rPr>
          <w:rFonts w:eastAsia="华文中宋"/>
          <w:b/>
          <w:bCs/>
          <w:kern w:val="0"/>
          <w:sz w:val="44"/>
          <w:szCs w:val="44"/>
        </w:rPr>
        <w:t>年</w:t>
      </w:r>
      <w:r>
        <w:rPr>
          <w:rFonts w:hint="eastAsia" w:eastAsia="华文中宋"/>
          <w:b/>
          <w:bCs/>
          <w:kern w:val="0"/>
          <w:sz w:val="44"/>
          <w:szCs w:val="44"/>
        </w:rPr>
        <w:t>溧水区</w:t>
      </w:r>
      <w:r>
        <w:rPr>
          <w:rFonts w:hint="eastAsia" w:eastAsia="华文中宋"/>
          <w:b/>
          <w:bCs/>
          <w:kern w:val="0"/>
          <w:sz w:val="44"/>
          <w:szCs w:val="44"/>
          <w:lang w:eastAsia="zh-CN"/>
        </w:rPr>
        <w:t>部级扩种油菜</w:t>
      </w:r>
      <w:r>
        <w:rPr>
          <w:rFonts w:hint="eastAsia" w:eastAsia="华文中宋"/>
          <w:b/>
          <w:bCs/>
          <w:kern w:val="0"/>
          <w:sz w:val="44"/>
          <w:szCs w:val="44"/>
        </w:rPr>
        <w:t>项目</w:t>
      </w:r>
    </w:p>
    <w:p>
      <w:pPr>
        <w:widowControl/>
        <w:spacing w:line="560" w:lineRule="exact"/>
        <w:jc w:val="center"/>
        <w:rPr>
          <w:rFonts w:eastAsia="仿宋_GB2312"/>
          <w:kern w:val="0"/>
          <w:sz w:val="32"/>
          <w:szCs w:val="32"/>
        </w:rPr>
      </w:pPr>
      <w:r>
        <w:rPr>
          <w:rFonts w:hint="eastAsia" w:eastAsia="华文中宋"/>
          <w:b/>
          <w:bCs/>
          <w:kern w:val="0"/>
          <w:sz w:val="44"/>
          <w:szCs w:val="44"/>
        </w:rPr>
        <w:t>申报指南</w:t>
      </w:r>
    </w:p>
    <w:p>
      <w:pPr>
        <w:spacing w:line="560" w:lineRule="exact"/>
        <w:ind w:firstLine="560" w:firstLineChars="200"/>
        <w:rPr>
          <w:rFonts w:cs="宋体" w:asciiTheme="majorEastAsia" w:hAnsiTheme="majorEastAsia" w:eastAsiaTheme="majorEastAsia"/>
          <w:kern w:val="0"/>
          <w:sz w:val="28"/>
          <w:szCs w:val="28"/>
        </w:rPr>
      </w:pPr>
      <w:r>
        <w:rPr>
          <w:rFonts w:cs="宋体" w:asciiTheme="majorEastAsia" w:hAnsiTheme="majorEastAsia" w:eastAsiaTheme="majorEastAsia"/>
          <w:kern w:val="0"/>
          <w:sz w:val="28"/>
          <w:szCs w:val="28"/>
        </w:rPr>
        <w:t>根据</w:t>
      </w:r>
      <w:r>
        <w:rPr>
          <w:rFonts w:hint="eastAsia" w:cs="宋体" w:asciiTheme="majorEastAsia" w:hAnsiTheme="majorEastAsia" w:eastAsiaTheme="majorEastAsia"/>
          <w:kern w:val="0"/>
          <w:sz w:val="28"/>
          <w:szCs w:val="28"/>
        </w:rPr>
        <w:t>市农业农村局、市财政局</w:t>
      </w:r>
      <w:r>
        <w:rPr>
          <w:rFonts w:cs="宋体" w:asciiTheme="majorEastAsia" w:hAnsiTheme="majorEastAsia" w:eastAsiaTheme="majorEastAsia"/>
          <w:kern w:val="0"/>
          <w:sz w:val="28"/>
          <w:szCs w:val="28"/>
        </w:rPr>
        <w:t>《关于</w:t>
      </w:r>
      <w:r>
        <w:rPr>
          <w:rFonts w:hint="eastAsia" w:cs="宋体" w:asciiTheme="majorEastAsia" w:hAnsiTheme="majorEastAsia" w:eastAsiaTheme="majorEastAsia"/>
          <w:kern w:val="0"/>
          <w:sz w:val="28"/>
          <w:szCs w:val="28"/>
          <w:lang w:eastAsia="zh-CN"/>
        </w:rPr>
        <w:t>提前下达</w:t>
      </w:r>
      <w:r>
        <w:rPr>
          <w:rFonts w:hint="eastAsia" w:cs="宋体" w:asciiTheme="majorEastAsia" w:hAnsiTheme="majorEastAsia" w:eastAsiaTheme="majorEastAsia"/>
          <w:kern w:val="0"/>
          <w:sz w:val="28"/>
          <w:szCs w:val="28"/>
          <w:lang w:val="en-US" w:eastAsia="zh-CN"/>
        </w:rPr>
        <w:t>2025年中央专项资金和发展新型农村集体经济预算</w:t>
      </w:r>
      <w:r>
        <w:rPr>
          <w:rFonts w:hint="eastAsia" w:cs="宋体" w:asciiTheme="majorEastAsia" w:hAnsiTheme="majorEastAsia" w:eastAsiaTheme="majorEastAsia"/>
          <w:kern w:val="0"/>
          <w:sz w:val="28"/>
          <w:szCs w:val="28"/>
        </w:rPr>
        <w:t>的通知</w:t>
      </w:r>
      <w:r>
        <w:rPr>
          <w:rFonts w:cs="宋体" w:asciiTheme="majorEastAsia" w:hAnsiTheme="majorEastAsia" w:eastAsiaTheme="majorEastAsia"/>
          <w:kern w:val="0"/>
          <w:sz w:val="28"/>
          <w:szCs w:val="28"/>
        </w:rPr>
        <w:t>》(</w:t>
      </w:r>
      <w:r>
        <w:rPr>
          <w:rFonts w:hint="eastAsia" w:cs="宋体" w:asciiTheme="majorEastAsia" w:hAnsiTheme="majorEastAsia" w:eastAsiaTheme="majorEastAsia"/>
          <w:kern w:val="0"/>
          <w:sz w:val="28"/>
          <w:szCs w:val="28"/>
        </w:rPr>
        <w:t>宁</w:t>
      </w:r>
      <w:r>
        <w:rPr>
          <w:rFonts w:cs="宋体" w:asciiTheme="majorEastAsia" w:hAnsiTheme="majorEastAsia" w:eastAsiaTheme="majorEastAsia"/>
          <w:kern w:val="0"/>
          <w:sz w:val="28"/>
          <w:szCs w:val="28"/>
        </w:rPr>
        <w:t>农</w:t>
      </w:r>
      <w:r>
        <w:rPr>
          <w:rFonts w:hint="eastAsia" w:cs="宋体" w:asciiTheme="majorEastAsia" w:hAnsiTheme="majorEastAsia" w:eastAsiaTheme="majorEastAsia"/>
          <w:kern w:val="0"/>
          <w:sz w:val="28"/>
          <w:szCs w:val="28"/>
        </w:rPr>
        <w:t>计</w:t>
      </w:r>
      <w:r>
        <w:rPr>
          <w:rFonts w:cs="宋体" w:asciiTheme="majorEastAsia" w:hAnsiTheme="majorEastAsia" w:eastAsiaTheme="majorEastAsia"/>
          <w:kern w:val="0"/>
          <w:sz w:val="28"/>
          <w:szCs w:val="28"/>
        </w:rPr>
        <w:t>[20</w:t>
      </w: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val="en-US" w:eastAsia="zh-CN"/>
        </w:rPr>
        <w:t>4</w:t>
      </w:r>
      <w:r>
        <w:rPr>
          <w:rFonts w:cs="宋体" w:asciiTheme="majorEastAsia" w:hAnsiTheme="majorEastAsia" w:eastAsiaTheme="majorEastAsia"/>
          <w:kern w:val="0"/>
          <w:sz w:val="28"/>
          <w:szCs w:val="28"/>
        </w:rPr>
        <w:t>]</w:t>
      </w:r>
      <w:r>
        <w:rPr>
          <w:rFonts w:hint="eastAsia" w:cs="宋体" w:asciiTheme="majorEastAsia" w:hAnsiTheme="majorEastAsia" w:eastAsiaTheme="majorEastAsia"/>
          <w:kern w:val="0"/>
          <w:sz w:val="28"/>
          <w:szCs w:val="28"/>
        </w:rPr>
        <w:t xml:space="preserve"> </w:t>
      </w:r>
      <w:r>
        <w:rPr>
          <w:rFonts w:hint="eastAsia" w:cs="宋体" w:asciiTheme="majorEastAsia" w:hAnsiTheme="majorEastAsia" w:eastAsiaTheme="majorEastAsia"/>
          <w:kern w:val="0"/>
          <w:sz w:val="28"/>
          <w:szCs w:val="28"/>
          <w:lang w:val="en-US" w:eastAsia="zh-CN"/>
        </w:rPr>
        <w:t>49</w:t>
      </w:r>
      <w:r>
        <w:rPr>
          <w:rFonts w:cs="宋体" w:asciiTheme="majorEastAsia" w:hAnsiTheme="majorEastAsia" w:eastAsiaTheme="majorEastAsia"/>
          <w:kern w:val="0"/>
          <w:sz w:val="28"/>
          <w:szCs w:val="28"/>
        </w:rPr>
        <w:t>号)</w:t>
      </w:r>
      <w:r>
        <w:rPr>
          <w:rFonts w:hint="eastAsia" w:cs="宋体" w:asciiTheme="majorEastAsia" w:hAnsiTheme="majorEastAsia" w:eastAsiaTheme="majorEastAsia"/>
          <w:kern w:val="0"/>
          <w:sz w:val="28"/>
          <w:szCs w:val="28"/>
        </w:rPr>
        <w:t>文件</w:t>
      </w:r>
      <w:r>
        <w:rPr>
          <w:rFonts w:cs="宋体" w:asciiTheme="majorEastAsia" w:hAnsiTheme="majorEastAsia" w:eastAsiaTheme="majorEastAsia"/>
          <w:kern w:val="0"/>
          <w:sz w:val="28"/>
          <w:szCs w:val="28"/>
        </w:rPr>
        <w:t>精神，</w:t>
      </w:r>
      <w:r>
        <w:rPr>
          <w:rFonts w:hint="eastAsia" w:cs="宋体" w:asciiTheme="majorEastAsia" w:hAnsiTheme="majorEastAsia" w:eastAsiaTheme="majorEastAsia"/>
          <w:kern w:val="0"/>
          <w:sz w:val="28"/>
          <w:szCs w:val="28"/>
        </w:rPr>
        <w:t>为进一步做好开展</w:t>
      </w:r>
      <w:r>
        <w:rPr>
          <w:rFonts w:hint="eastAsia" w:cs="宋体" w:asciiTheme="majorEastAsia" w:hAnsiTheme="majorEastAsia" w:eastAsiaTheme="majorEastAsia"/>
          <w:kern w:val="0"/>
          <w:sz w:val="28"/>
          <w:szCs w:val="28"/>
          <w:lang w:eastAsia="zh-CN"/>
        </w:rPr>
        <w:t>扩种油菜</w:t>
      </w:r>
      <w:r>
        <w:rPr>
          <w:rFonts w:hint="eastAsia" w:cs="宋体" w:asciiTheme="majorEastAsia" w:hAnsiTheme="majorEastAsia" w:eastAsiaTheme="majorEastAsia"/>
          <w:kern w:val="0"/>
          <w:sz w:val="28"/>
          <w:szCs w:val="28"/>
        </w:rPr>
        <w:t>项目工作</w:t>
      </w:r>
      <w:r>
        <w:rPr>
          <w:rFonts w:cs="宋体" w:asciiTheme="majorEastAsia" w:hAnsiTheme="majorEastAsia" w:eastAsiaTheme="majorEastAsia"/>
          <w:kern w:val="0"/>
          <w:sz w:val="28"/>
          <w:szCs w:val="28"/>
        </w:rPr>
        <w:t>，提高项目管理水平</w:t>
      </w:r>
      <w:r>
        <w:rPr>
          <w:rFonts w:hint="eastAsia" w:cs="宋体" w:asciiTheme="majorEastAsia" w:hAnsiTheme="majorEastAsia" w:eastAsiaTheme="majorEastAsia"/>
          <w:kern w:val="0"/>
          <w:sz w:val="28"/>
          <w:szCs w:val="28"/>
        </w:rPr>
        <w:t>，制定本指南。</w:t>
      </w:r>
    </w:p>
    <w:p>
      <w:pPr>
        <w:numPr>
          <w:ilvl w:val="0"/>
          <w:numId w:val="1"/>
        </w:num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总体要求：</w:t>
      </w:r>
    </w:p>
    <w:p>
      <w:pPr>
        <w:spacing w:line="560" w:lineRule="exact"/>
        <w:ind w:firstLine="560" w:firstLineChars="200"/>
        <w:rPr>
          <w:rFonts w:hint="eastAsia"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全面贯彻习近平生态文明思想和习近平总书记关于农业供给侧结构性改革指示精神，按照中央关于统筹推进粮食生产、大豆和油料振兴、农业生态保护和资源利用，加大政策扶持，完善试点功能，强化科技支撑，提升试点水平，加快构建绿色种植制度，促进农业转型升级和可持续发展。重点把握好以下原则:</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rPr>
        <w:t xml:space="preserve">    (一)巩固提升产能，确保粮油安全。坚守耕地保护红线，提升耕地质量，增加市场紧缺的油料供给。</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rPr>
        <w:t xml:space="preserve">    (二)突出</w:t>
      </w:r>
      <w:bookmarkStart w:id="0" w:name="_GoBack"/>
      <w:bookmarkEnd w:id="0"/>
      <w:r>
        <w:rPr>
          <w:rFonts w:hint="eastAsia" w:cs="宋体" w:asciiTheme="majorEastAsia" w:hAnsiTheme="majorEastAsia" w:eastAsiaTheme="majorEastAsia"/>
          <w:kern w:val="0"/>
          <w:sz w:val="28"/>
          <w:szCs w:val="28"/>
          <w:lang w:eastAsia="zh-CN"/>
        </w:rPr>
        <w:t>重点区域</w:t>
      </w:r>
      <w:r>
        <w:rPr>
          <w:rFonts w:hint="eastAsia" w:cs="宋体" w:asciiTheme="majorEastAsia" w:hAnsiTheme="majorEastAsia" w:eastAsiaTheme="majorEastAsia"/>
          <w:kern w:val="0"/>
          <w:sz w:val="28"/>
          <w:szCs w:val="28"/>
        </w:rPr>
        <w:t>，相对集中连片。鼓励以镇、村或村民小组为单元和规模经营主体为对象，集中连片推进。</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lang w:val="en-US" w:eastAsia="zh-CN"/>
        </w:rPr>
        <w:t xml:space="preserve">   </w:t>
      </w:r>
      <w:r>
        <w:rPr>
          <w:rFonts w:hint="eastAsia" w:cs="宋体" w:asciiTheme="majorEastAsia" w:hAnsiTheme="majorEastAsia" w:eastAsiaTheme="majorEastAsia"/>
          <w:kern w:val="0"/>
          <w:sz w:val="28"/>
          <w:szCs w:val="28"/>
        </w:rPr>
        <w:t>(三)完善政策支持，鼓励各方参与。建立健全耕地轮作休耕政策框架，支持农民</w:t>
      </w:r>
      <w:r>
        <w:rPr>
          <w:rFonts w:hint="eastAsia" w:cs="宋体" w:asciiTheme="majorEastAsia" w:hAnsiTheme="majorEastAsia" w:eastAsiaTheme="majorEastAsia"/>
          <w:kern w:val="0"/>
          <w:sz w:val="28"/>
          <w:szCs w:val="28"/>
          <w:lang w:eastAsia="zh-CN"/>
        </w:rPr>
        <w:t>扩种油菜</w:t>
      </w:r>
      <w:r>
        <w:rPr>
          <w:rFonts w:hint="eastAsia" w:cs="宋体" w:asciiTheme="majorEastAsia" w:hAnsiTheme="majorEastAsia" w:eastAsiaTheme="majorEastAsia"/>
          <w:kern w:val="0"/>
          <w:sz w:val="28"/>
          <w:szCs w:val="28"/>
        </w:rPr>
        <w:t>，对承担任务的经营主体原有种植收益和土地管护投入给予必要补助，确保试点不影响农民收入。</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lang w:eastAsia="zh-CN"/>
        </w:rPr>
        <w:t>　</w:t>
      </w:r>
      <w:r>
        <w:rPr>
          <w:rFonts w:hint="eastAsia" w:cs="宋体" w:asciiTheme="majorEastAsia" w:hAnsiTheme="majorEastAsia" w:eastAsiaTheme="majorEastAsia"/>
          <w:kern w:val="0"/>
          <w:sz w:val="28"/>
          <w:szCs w:val="28"/>
        </w:rPr>
        <w:t>(四)尊重农民意愿，稳妥有序实施。以农民为主体，尊重农民意愿，发挥主观能动性，不搞强迫命令和“一刀切”。严格申报程序，规范项目运作，实行公示制度，广泛接受监督。</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rPr>
        <w:t>　　二、</w:t>
      </w:r>
      <w:r>
        <w:rPr>
          <w:rFonts w:hint="eastAsia" w:cs="宋体" w:asciiTheme="majorEastAsia" w:hAnsiTheme="majorEastAsia" w:eastAsiaTheme="majorEastAsia"/>
          <w:kern w:val="0"/>
          <w:sz w:val="28"/>
          <w:szCs w:val="28"/>
          <w:lang w:eastAsia="zh-CN"/>
        </w:rPr>
        <w:t>项目</w:t>
      </w:r>
      <w:r>
        <w:rPr>
          <w:rFonts w:hint="eastAsia" w:cs="宋体" w:asciiTheme="majorEastAsia" w:hAnsiTheme="majorEastAsia" w:eastAsiaTheme="majorEastAsia"/>
          <w:kern w:val="0"/>
          <w:sz w:val="28"/>
          <w:szCs w:val="28"/>
        </w:rPr>
        <w:t>任务　　</w:t>
      </w:r>
    </w:p>
    <w:p>
      <w:pPr>
        <w:spacing w:line="560" w:lineRule="exac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eastAsia="zh-CN"/>
        </w:rPr>
        <w:t>　　</w:t>
      </w:r>
      <w:r>
        <w:rPr>
          <w:rFonts w:hint="eastAsia" w:cs="宋体" w:asciiTheme="majorEastAsia" w:hAnsiTheme="majorEastAsia" w:eastAsiaTheme="majorEastAsia"/>
          <w:kern w:val="0"/>
          <w:sz w:val="28"/>
          <w:szCs w:val="28"/>
        </w:rPr>
        <w:t>202</w:t>
      </w:r>
      <w:r>
        <w:rPr>
          <w:rFonts w:hint="eastAsia" w:cs="宋体" w:asciiTheme="majorEastAsia" w:hAnsiTheme="majorEastAsia" w:eastAsiaTheme="majorEastAsia"/>
          <w:kern w:val="0"/>
          <w:sz w:val="28"/>
          <w:szCs w:val="28"/>
          <w:lang w:val="en-US" w:eastAsia="zh-CN"/>
        </w:rPr>
        <w:t>5</w:t>
      </w:r>
      <w:r>
        <w:rPr>
          <w:rFonts w:hint="eastAsia" w:cs="宋体" w:asciiTheme="majorEastAsia" w:hAnsiTheme="majorEastAsia" w:eastAsiaTheme="majorEastAsia"/>
          <w:kern w:val="0"/>
          <w:sz w:val="28"/>
          <w:szCs w:val="28"/>
        </w:rPr>
        <w:t>年度</w:t>
      </w:r>
      <w:r>
        <w:rPr>
          <w:rFonts w:hint="eastAsia" w:cs="宋体" w:asciiTheme="majorEastAsia" w:hAnsiTheme="majorEastAsia" w:eastAsiaTheme="majorEastAsia"/>
          <w:kern w:val="0"/>
          <w:sz w:val="28"/>
          <w:szCs w:val="28"/>
          <w:lang w:eastAsia="zh-CN"/>
        </w:rPr>
        <w:t>秋播</w:t>
      </w:r>
      <w:r>
        <w:rPr>
          <w:rFonts w:hint="eastAsia" w:cs="宋体" w:asciiTheme="majorEastAsia" w:hAnsiTheme="majorEastAsia" w:eastAsiaTheme="majorEastAsia"/>
          <w:kern w:val="0"/>
          <w:sz w:val="28"/>
          <w:szCs w:val="28"/>
        </w:rPr>
        <w:t>，</w:t>
      </w:r>
      <w:r>
        <w:rPr>
          <w:rFonts w:hint="eastAsia" w:cs="宋体" w:asciiTheme="majorEastAsia" w:hAnsiTheme="majorEastAsia" w:eastAsiaTheme="majorEastAsia"/>
          <w:kern w:val="0"/>
          <w:sz w:val="28"/>
          <w:szCs w:val="28"/>
          <w:lang w:eastAsia="zh-CN"/>
        </w:rPr>
        <w:t>全区本项目扩种油菜面积不小于</w:t>
      </w:r>
      <w:r>
        <w:rPr>
          <w:rFonts w:hint="eastAsia" w:cs="宋体" w:asciiTheme="majorEastAsia" w:hAnsiTheme="majorEastAsia" w:eastAsiaTheme="majorEastAsia"/>
          <w:kern w:val="0"/>
          <w:sz w:val="28"/>
          <w:szCs w:val="28"/>
          <w:lang w:val="en-US" w:eastAsia="zh-CN"/>
        </w:rPr>
        <w:t>2800亩</w:t>
      </w:r>
      <w:r>
        <w:rPr>
          <w:rFonts w:hint="eastAsia" w:cs="宋体" w:asciiTheme="majorEastAsia" w:hAnsiTheme="majorEastAsia" w:eastAsiaTheme="majorEastAsia"/>
          <w:kern w:val="0"/>
          <w:sz w:val="28"/>
          <w:szCs w:val="28"/>
        </w:rPr>
        <w:t>。在充分征求各地意见和认真调研的基础上，按照试点区域相对集中的原则</w:t>
      </w:r>
      <w:r>
        <w:rPr>
          <w:rFonts w:hint="eastAsia" w:cs="宋体" w:asciiTheme="majorEastAsia" w:hAnsiTheme="majorEastAsia" w:eastAsiaTheme="majorEastAsia"/>
          <w:kern w:val="0"/>
          <w:sz w:val="28"/>
          <w:szCs w:val="28"/>
          <w:lang w:eastAsia="zh-CN"/>
        </w:rPr>
        <w:t>。</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补助对象、标准和方式</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(一)补助对象。直接承担</w:t>
      </w:r>
      <w:r>
        <w:rPr>
          <w:rFonts w:hint="eastAsia" w:cs="宋体" w:asciiTheme="majorEastAsia" w:hAnsiTheme="majorEastAsia" w:eastAsiaTheme="majorEastAsia"/>
          <w:kern w:val="0"/>
          <w:sz w:val="28"/>
          <w:szCs w:val="28"/>
          <w:lang w:eastAsia="zh-CN"/>
        </w:rPr>
        <w:t>项目</w:t>
      </w:r>
      <w:r>
        <w:rPr>
          <w:rFonts w:hint="eastAsia" w:cs="宋体" w:asciiTheme="majorEastAsia" w:hAnsiTheme="majorEastAsia" w:eastAsiaTheme="majorEastAsia"/>
          <w:kern w:val="0"/>
          <w:sz w:val="28"/>
          <w:szCs w:val="28"/>
        </w:rPr>
        <w:t>任务的农户、家庭农场、农民专业合作社、农业企业、村级集体组织等各类生产经营主体。</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rPr>
        <w:t>　　(二)补助标准。</w:t>
      </w:r>
      <w:r>
        <w:rPr>
          <w:rFonts w:hint="eastAsia" w:cs="宋体" w:asciiTheme="majorEastAsia" w:hAnsiTheme="majorEastAsia" w:eastAsiaTheme="majorEastAsia"/>
          <w:kern w:val="0"/>
          <w:sz w:val="28"/>
          <w:szCs w:val="28"/>
          <w:lang w:eastAsia="zh-CN"/>
        </w:rPr>
        <w:t>中央财政</w:t>
      </w:r>
      <w:r>
        <w:rPr>
          <w:rFonts w:hint="eastAsia" w:cs="宋体" w:asciiTheme="majorEastAsia" w:hAnsiTheme="majorEastAsia" w:eastAsiaTheme="majorEastAsia"/>
          <w:kern w:val="0"/>
          <w:sz w:val="28"/>
          <w:szCs w:val="28"/>
        </w:rPr>
        <w:t>对轮作试点给予适当补助，</w:t>
      </w:r>
      <w:r>
        <w:rPr>
          <w:rFonts w:hint="eastAsia" w:cs="宋体" w:asciiTheme="majorEastAsia" w:hAnsiTheme="majorEastAsia" w:eastAsiaTheme="majorEastAsia"/>
          <w:kern w:val="0"/>
          <w:sz w:val="28"/>
          <w:szCs w:val="28"/>
          <w:lang w:eastAsia="zh-CN"/>
        </w:rPr>
        <w:t>项目资金</w:t>
      </w:r>
      <w:r>
        <w:rPr>
          <w:rFonts w:hint="eastAsia" w:cs="宋体" w:asciiTheme="majorEastAsia" w:hAnsiTheme="majorEastAsia" w:eastAsiaTheme="majorEastAsia"/>
          <w:kern w:val="0"/>
          <w:sz w:val="28"/>
          <w:szCs w:val="28"/>
          <w:lang w:val="en-US" w:eastAsia="zh-CN"/>
        </w:rPr>
        <w:t>28</w:t>
      </w:r>
      <w:r>
        <w:rPr>
          <w:rFonts w:hint="eastAsia" w:cs="宋体" w:asciiTheme="majorEastAsia" w:hAnsiTheme="majorEastAsia" w:eastAsiaTheme="majorEastAsia"/>
          <w:kern w:val="0"/>
          <w:sz w:val="28"/>
          <w:szCs w:val="28"/>
        </w:rPr>
        <w:t>万元，</w:t>
      </w:r>
      <w:r>
        <w:rPr>
          <w:rFonts w:hint="eastAsia" w:cs="宋体" w:asciiTheme="majorEastAsia" w:hAnsiTheme="majorEastAsia" w:eastAsiaTheme="majorEastAsia"/>
          <w:kern w:val="0"/>
          <w:sz w:val="28"/>
          <w:szCs w:val="28"/>
          <w:lang w:eastAsia="zh-CN"/>
        </w:rPr>
        <w:t>按照最后申报面积实施面积，减除适当的项目实施管理费用，</w:t>
      </w:r>
      <w:r>
        <w:rPr>
          <w:rFonts w:hint="eastAsia" w:cs="宋体" w:asciiTheme="majorEastAsia" w:hAnsiTheme="majorEastAsia" w:eastAsiaTheme="majorEastAsia"/>
          <w:kern w:val="0"/>
          <w:sz w:val="28"/>
          <w:szCs w:val="28"/>
        </w:rPr>
        <w:t>补助标准为每亩</w:t>
      </w:r>
      <w:r>
        <w:rPr>
          <w:rFonts w:hint="eastAsia" w:cs="宋体" w:asciiTheme="majorEastAsia" w:hAnsiTheme="majorEastAsia" w:eastAsiaTheme="majorEastAsia"/>
          <w:kern w:val="0"/>
          <w:sz w:val="28"/>
          <w:szCs w:val="28"/>
          <w:lang w:val="en-US" w:eastAsia="zh-CN"/>
        </w:rPr>
        <w:t>60－100</w:t>
      </w:r>
      <w:r>
        <w:rPr>
          <w:rFonts w:hint="eastAsia" w:cs="宋体" w:asciiTheme="majorEastAsia" w:hAnsiTheme="majorEastAsia" w:eastAsiaTheme="majorEastAsia"/>
          <w:kern w:val="0"/>
          <w:sz w:val="28"/>
          <w:szCs w:val="28"/>
        </w:rPr>
        <w:t>元。</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(三)补助方式。根据核查结果，完成任务指标的，按实施方案下达的指标，足额补助给参加项目的农户、家庭农场、农民合作社、农业公司、村级组织等项目实施参加主体。</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三、实施主体和要求</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（一）实施主体</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区</w:t>
      </w:r>
      <w:r>
        <w:rPr>
          <w:rFonts w:hint="eastAsia" w:cs="宋体" w:asciiTheme="majorEastAsia" w:hAnsiTheme="majorEastAsia" w:eastAsiaTheme="majorEastAsia"/>
          <w:kern w:val="0"/>
          <w:sz w:val="28"/>
          <w:szCs w:val="28"/>
          <w:lang w:eastAsia="zh-CN"/>
        </w:rPr>
        <w:t>、街镇农业技术推广单位</w:t>
      </w:r>
      <w:r>
        <w:rPr>
          <w:rFonts w:hint="eastAsia" w:cs="宋体" w:asciiTheme="majorEastAsia" w:hAnsiTheme="majorEastAsia" w:eastAsiaTheme="majorEastAsia"/>
          <w:kern w:val="0"/>
          <w:sz w:val="28"/>
          <w:szCs w:val="28"/>
        </w:rPr>
        <w:t>。</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（二）实施要求</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要根据项目实施需要，组织技术指导组，建立以农业</w:t>
      </w:r>
      <w:r>
        <w:rPr>
          <w:rFonts w:hint="eastAsia" w:cs="宋体" w:asciiTheme="majorEastAsia" w:hAnsiTheme="majorEastAsia" w:eastAsiaTheme="majorEastAsia"/>
          <w:kern w:val="0"/>
          <w:sz w:val="28"/>
          <w:szCs w:val="28"/>
          <w:lang w:eastAsia="zh-CN"/>
        </w:rPr>
        <w:t>农村</w:t>
      </w:r>
      <w:r>
        <w:rPr>
          <w:rFonts w:hint="eastAsia" w:cs="宋体" w:asciiTheme="majorEastAsia" w:hAnsiTheme="majorEastAsia" w:eastAsiaTheme="majorEastAsia"/>
          <w:kern w:val="0"/>
          <w:sz w:val="28"/>
          <w:szCs w:val="28"/>
        </w:rPr>
        <w:t>部门牵头组织指导，乡镇和村组具体落实、农户精准实施、财政部门根据核查结果拨付资金的工作协调机制，形成工作合力。</w:t>
      </w:r>
    </w:p>
    <w:p>
      <w:pPr>
        <w:numPr>
          <w:ilvl w:val="0"/>
          <w:numId w:val="2"/>
        </w:numPr>
        <w:spacing w:line="560" w:lineRule="exact"/>
        <w:ind w:firstLine="560" w:firstLineChars="200"/>
        <w:rPr>
          <w:rFonts w:hint="eastAsia"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科学编制实施方案。按照要求和资金额度，制定切实可行的具体实施方案，明确目标任务、实施区域、实施规模、责任主体、主推模式、补助环节、补助对象、补助标准、进度安排、绩效目标和保障措施等，按程序进行批复。实施方案要明确尊重和保护农户享有的土地承包经营权益的相关机制，实施时与参加项目的农户签订协议。</w:t>
      </w:r>
    </w:p>
    <w:p>
      <w:pPr>
        <w:numPr>
          <w:ilvl w:val="0"/>
          <w:numId w:val="0"/>
        </w:numPr>
        <w:spacing w:line="560" w:lineRule="exac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eastAsia="zh-CN"/>
        </w:rPr>
        <w:t>　　</w:t>
      </w:r>
      <w:r>
        <w:rPr>
          <w:rFonts w:hint="eastAsia" w:cs="宋体" w:asciiTheme="majorEastAsia" w:hAnsiTheme="majorEastAsia" w:eastAsiaTheme="majorEastAsia"/>
          <w:kern w:val="0"/>
          <w:sz w:val="28"/>
          <w:szCs w:val="28"/>
        </w:rPr>
        <w:t>2、强化项目实施监督。项目实施过程中要强化信息公示、监督检查、农户档案清册建立、面积核实。要精确统计到农户地块，以试点区域农户为对象、村民小组为基础，实行行政村、乡（镇、街道）、县（市、区）逐级核查统计、汇总上报。核查结果要以村为单位公示，照片留档，建立档案，接受群众监督，防止重复补贴、遗漏补贴和冒领补贴。对发现的问题要及时纠正和调整，确保项目按期保质完成。</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3、强化宣传和培训指导。要加强舆论宣传，充分利用电视、报纸、网络等媒体，多视角、多层次、广泛宣传，形成社会广泛共识。要有针对性地开展技术培训，解决试点过程中的关键技术问题。</w:t>
      </w:r>
    </w:p>
    <w:p>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en-US" w:eastAsia="zh-CN"/>
        </w:rPr>
        <w:t>4</w:t>
      </w:r>
      <w:r>
        <w:rPr>
          <w:rFonts w:hint="eastAsia" w:cs="宋体" w:asciiTheme="majorEastAsia" w:hAnsiTheme="majorEastAsia" w:eastAsiaTheme="majorEastAsia"/>
          <w:kern w:val="0"/>
          <w:sz w:val="28"/>
          <w:szCs w:val="28"/>
        </w:rPr>
        <w:t>、严格项目资金管理。要完善项目资金管理机制，加强监督检查，确保规范使用项目资金，确保专款专用，切实发挥财政支农资金效果。不得擅自变更项目资金用途和补贴标准，不得以管理费、工作经费等名义截留、挪用项目资金，不得以任何方式骗取、套取项目资金，一经发现，将按照有关法律法规严肃处理。要加快项目资金拨付</w:t>
      </w:r>
      <w:r>
        <w:rPr>
          <w:rFonts w:cs="宋体" w:asciiTheme="majorEastAsia" w:hAnsiTheme="majorEastAsia" w:eastAsiaTheme="majorEastAsia"/>
          <w:kern w:val="0"/>
          <w:sz w:val="28"/>
          <w:szCs w:val="28"/>
        </w:rPr>
        <w:t>进度，原则上采取直接打卡方式发放到农户。</w:t>
      </w:r>
    </w:p>
    <w:p>
      <w:pPr>
        <w:widowControl/>
        <w:adjustRightInd w:val="0"/>
        <w:snapToGrid w:val="0"/>
        <w:spacing w:line="56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en-US" w:eastAsia="zh-CN"/>
        </w:rPr>
        <w:t>5</w:t>
      </w:r>
      <w:r>
        <w:rPr>
          <w:rFonts w:cs="宋体" w:asciiTheme="majorEastAsia" w:hAnsiTheme="majorEastAsia" w:eastAsiaTheme="majorEastAsia"/>
          <w:kern w:val="0"/>
          <w:sz w:val="28"/>
          <w:szCs w:val="28"/>
        </w:rPr>
        <w:t>、加强项目绩效管理。强化项目绩效管理，细化项目绩效</w:t>
      </w:r>
      <w:r>
        <w:rPr>
          <w:rFonts w:hint="eastAsia" w:cs="宋体" w:asciiTheme="majorEastAsia" w:hAnsiTheme="majorEastAsia" w:eastAsiaTheme="majorEastAsia"/>
          <w:kern w:val="0"/>
          <w:sz w:val="28"/>
          <w:szCs w:val="28"/>
          <w:lang w:eastAsia="zh-CN"/>
        </w:rPr>
        <w:t>考评</w:t>
      </w:r>
      <w:r>
        <w:rPr>
          <w:rFonts w:cs="宋体" w:asciiTheme="majorEastAsia" w:hAnsiTheme="majorEastAsia" w:eastAsiaTheme="majorEastAsia"/>
          <w:kern w:val="0"/>
          <w:sz w:val="28"/>
          <w:szCs w:val="28"/>
        </w:rPr>
        <w:t>中的资金到位、资金支出、专款专用等投入目标，做好资金绩效目标评</w:t>
      </w:r>
      <w:r>
        <w:rPr>
          <w:rFonts w:hint="eastAsia" w:cs="宋体" w:asciiTheme="majorEastAsia" w:hAnsiTheme="majorEastAsia" w:eastAsiaTheme="majorEastAsia"/>
          <w:kern w:val="0"/>
          <w:sz w:val="28"/>
          <w:szCs w:val="28"/>
          <w:lang w:eastAsia="zh-CN"/>
        </w:rPr>
        <w:t>价</w:t>
      </w:r>
      <w:r>
        <w:rPr>
          <w:rFonts w:cs="宋体" w:asciiTheme="majorEastAsia" w:hAnsiTheme="majorEastAsia" w:eastAsiaTheme="majorEastAsia"/>
          <w:kern w:val="0"/>
          <w:sz w:val="28"/>
          <w:szCs w:val="28"/>
        </w:rPr>
        <w:t>工作。</w:t>
      </w:r>
    </w:p>
    <w:p>
      <w:pPr>
        <w:widowControl/>
        <w:adjustRightInd w:val="0"/>
        <w:snapToGrid w:val="0"/>
        <w:spacing w:line="56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en-US" w:eastAsia="zh-CN"/>
        </w:rPr>
        <w:t>6</w:t>
      </w:r>
      <w:r>
        <w:rPr>
          <w:rFonts w:cs="宋体" w:asciiTheme="majorEastAsia" w:hAnsiTheme="majorEastAsia" w:eastAsiaTheme="majorEastAsia"/>
          <w:kern w:val="0"/>
          <w:sz w:val="28"/>
          <w:szCs w:val="28"/>
        </w:rPr>
        <w:t>、做好总结验收工作。本项目需于20</w:t>
      </w: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val="en-US" w:eastAsia="zh-CN"/>
        </w:rPr>
        <w:t>6</w:t>
      </w:r>
      <w:r>
        <w:rPr>
          <w:rFonts w:cs="宋体" w:asciiTheme="majorEastAsia" w:hAnsiTheme="majorEastAsia" w:eastAsiaTheme="majorEastAsia"/>
          <w:kern w:val="0"/>
          <w:sz w:val="28"/>
          <w:szCs w:val="28"/>
        </w:rPr>
        <w:t>年</w:t>
      </w:r>
      <w:r>
        <w:rPr>
          <w:rFonts w:hint="eastAsia" w:cs="宋体" w:asciiTheme="majorEastAsia" w:hAnsiTheme="majorEastAsia" w:eastAsiaTheme="majorEastAsia"/>
          <w:kern w:val="0"/>
          <w:sz w:val="28"/>
          <w:szCs w:val="28"/>
          <w:lang w:val="en-US" w:eastAsia="zh-CN"/>
        </w:rPr>
        <w:t>10</w:t>
      </w:r>
      <w:r>
        <w:rPr>
          <w:rFonts w:cs="宋体" w:asciiTheme="majorEastAsia" w:hAnsiTheme="majorEastAsia" w:eastAsiaTheme="majorEastAsia"/>
          <w:kern w:val="0"/>
          <w:sz w:val="28"/>
          <w:szCs w:val="28"/>
        </w:rPr>
        <w:t>月</w:t>
      </w:r>
      <w:r>
        <w:rPr>
          <w:rFonts w:hint="eastAsia" w:cs="宋体" w:asciiTheme="majorEastAsia" w:hAnsiTheme="majorEastAsia" w:eastAsiaTheme="majorEastAsia"/>
          <w:kern w:val="0"/>
          <w:sz w:val="28"/>
          <w:szCs w:val="28"/>
        </w:rPr>
        <w:t>3</w:t>
      </w:r>
      <w:r>
        <w:rPr>
          <w:rFonts w:hint="eastAsia" w:cs="宋体" w:asciiTheme="majorEastAsia" w:hAnsiTheme="majorEastAsia" w:eastAsiaTheme="majorEastAsia"/>
          <w:kern w:val="0"/>
          <w:sz w:val="28"/>
          <w:szCs w:val="28"/>
          <w:lang w:val="en-US" w:eastAsia="zh-CN"/>
        </w:rPr>
        <w:t>1</w:t>
      </w:r>
      <w:r>
        <w:rPr>
          <w:rFonts w:hint="eastAsia" w:cs="宋体" w:asciiTheme="majorEastAsia" w:hAnsiTheme="majorEastAsia" w:eastAsiaTheme="majorEastAsia"/>
          <w:kern w:val="0"/>
          <w:sz w:val="28"/>
          <w:szCs w:val="28"/>
        </w:rPr>
        <w:t>日</w:t>
      </w:r>
      <w:r>
        <w:rPr>
          <w:rFonts w:cs="宋体" w:asciiTheme="majorEastAsia" w:hAnsiTheme="majorEastAsia" w:eastAsiaTheme="majorEastAsia"/>
          <w:kern w:val="0"/>
          <w:sz w:val="28"/>
          <w:szCs w:val="28"/>
        </w:rPr>
        <w:t>前完成</w:t>
      </w:r>
      <w:r>
        <w:rPr>
          <w:rFonts w:hint="eastAsia" w:cs="宋体" w:asciiTheme="majorEastAsia" w:hAnsiTheme="majorEastAsia" w:eastAsiaTheme="majorEastAsia"/>
          <w:kern w:val="0"/>
          <w:sz w:val="28"/>
          <w:szCs w:val="28"/>
          <w:lang w:eastAsia="zh-CN"/>
        </w:rPr>
        <w:t>项目</w:t>
      </w:r>
      <w:r>
        <w:rPr>
          <w:rFonts w:cs="宋体" w:asciiTheme="majorEastAsia" w:hAnsiTheme="majorEastAsia" w:eastAsiaTheme="majorEastAsia"/>
          <w:kern w:val="0"/>
          <w:sz w:val="28"/>
          <w:szCs w:val="28"/>
        </w:rPr>
        <w:t>。要按照要求加强督促检查，及时反馈项目实施进度、成效，总结试点经验和存在问题。项目实施完成后，实施方案批复单位要及时组织项目验收。</w:t>
      </w:r>
    </w:p>
    <w:p>
      <w:pPr>
        <w:widowControl/>
        <w:adjustRightInd w:val="0"/>
        <w:snapToGrid w:val="0"/>
        <w:spacing w:line="560" w:lineRule="exact"/>
        <w:ind w:firstLine="5040" w:firstLineChars="18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南京市溧水区农业农村局</w:t>
      </w:r>
    </w:p>
    <w:p>
      <w:pPr>
        <w:widowControl/>
        <w:adjustRightInd w:val="0"/>
        <w:snapToGrid w:val="0"/>
        <w:spacing w:line="560" w:lineRule="exact"/>
        <w:ind w:firstLine="5600" w:firstLineChars="2000"/>
        <w:jc w:val="left"/>
        <w:rPr>
          <w:rFonts w:cs="宋体" w:asciiTheme="majorEastAsia" w:hAnsiTheme="majorEastAsia" w:eastAsiaTheme="majorEastAsia"/>
          <w:kern w:val="0"/>
          <w:sz w:val="28"/>
          <w:szCs w:val="28"/>
        </w:rPr>
      </w:pPr>
      <w:r>
        <w:rPr>
          <w:rFonts w:cs="宋体" w:asciiTheme="majorEastAsia" w:hAnsiTheme="majorEastAsia" w:eastAsiaTheme="majorEastAsia"/>
          <w:kern w:val="0"/>
          <w:sz w:val="28"/>
          <w:szCs w:val="28"/>
        </w:rPr>
        <w:t>20</w:t>
      </w: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val="en-US" w:eastAsia="zh-CN"/>
        </w:rPr>
        <w:t>5</w:t>
      </w:r>
      <w:r>
        <w:rPr>
          <w:rFonts w:cs="宋体" w:asciiTheme="majorEastAsia" w:hAnsiTheme="majorEastAsia" w:eastAsiaTheme="majorEastAsia"/>
          <w:kern w:val="0"/>
          <w:sz w:val="28"/>
          <w:szCs w:val="28"/>
        </w:rPr>
        <w:t>年</w:t>
      </w:r>
      <w:r>
        <w:rPr>
          <w:rFonts w:hint="eastAsia" w:cs="宋体" w:asciiTheme="majorEastAsia" w:hAnsiTheme="majorEastAsia" w:eastAsiaTheme="majorEastAsia"/>
          <w:kern w:val="0"/>
          <w:sz w:val="28"/>
          <w:szCs w:val="28"/>
          <w:lang w:val="en-US" w:eastAsia="zh-CN"/>
        </w:rPr>
        <w:t>10</w:t>
      </w:r>
      <w:r>
        <w:rPr>
          <w:rFonts w:cs="宋体" w:asciiTheme="majorEastAsia" w:hAnsiTheme="majorEastAsia" w:eastAsiaTheme="majorEastAsia"/>
          <w:kern w:val="0"/>
          <w:sz w:val="28"/>
          <w:szCs w:val="28"/>
        </w:rPr>
        <w:t>月</w:t>
      </w:r>
      <w:r>
        <w:rPr>
          <w:rFonts w:hint="eastAsia" w:cs="宋体" w:asciiTheme="majorEastAsia" w:hAnsiTheme="majorEastAsia" w:eastAsiaTheme="majorEastAsia"/>
          <w:kern w:val="0"/>
          <w:sz w:val="28"/>
          <w:szCs w:val="28"/>
          <w:lang w:val="en-US" w:eastAsia="zh-CN"/>
        </w:rPr>
        <w:t>13</w:t>
      </w:r>
      <w:r>
        <w:rPr>
          <w:rFonts w:cs="宋体" w:asciiTheme="majorEastAsia" w:hAnsiTheme="majorEastAsia" w:eastAsiaTheme="majorEastAsia"/>
          <w:kern w:val="0"/>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方正公文仿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4633EF"/>
    <w:multiLevelType w:val="singleLevel"/>
    <w:tmpl w:val="E14633EF"/>
    <w:lvl w:ilvl="0" w:tentative="0">
      <w:start w:val="1"/>
      <w:numFmt w:val="chineseCounting"/>
      <w:suff w:val="nothing"/>
      <w:lvlText w:val="%1、"/>
      <w:lvlJc w:val="left"/>
      <w:rPr>
        <w:rFonts w:hint="eastAsia"/>
      </w:rPr>
    </w:lvl>
  </w:abstractNum>
  <w:abstractNum w:abstractNumId="1">
    <w:nsid w:val="157D9854"/>
    <w:multiLevelType w:val="singleLevel"/>
    <w:tmpl w:val="157D985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jhhMWQ4NTIxYTEwMDM0MjQ0NDYxNDZjOTI5NjEifQ=="/>
  </w:docVars>
  <w:rsids>
    <w:rsidRoot w:val="006E284E"/>
    <w:rsid w:val="00021D35"/>
    <w:rsid w:val="00047730"/>
    <w:rsid w:val="00047ED6"/>
    <w:rsid w:val="000A46AE"/>
    <w:rsid w:val="00272BCC"/>
    <w:rsid w:val="00326EC6"/>
    <w:rsid w:val="003853D2"/>
    <w:rsid w:val="003F0D90"/>
    <w:rsid w:val="00420BB7"/>
    <w:rsid w:val="00472796"/>
    <w:rsid w:val="00482990"/>
    <w:rsid w:val="004C2435"/>
    <w:rsid w:val="00507AF3"/>
    <w:rsid w:val="005105D3"/>
    <w:rsid w:val="005B0BE0"/>
    <w:rsid w:val="00677B53"/>
    <w:rsid w:val="00682D8A"/>
    <w:rsid w:val="006A5B95"/>
    <w:rsid w:val="006E284E"/>
    <w:rsid w:val="006F0686"/>
    <w:rsid w:val="008143FA"/>
    <w:rsid w:val="0088093C"/>
    <w:rsid w:val="008910CA"/>
    <w:rsid w:val="0093443E"/>
    <w:rsid w:val="009A0081"/>
    <w:rsid w:val="009B5B2A"/>
    <w:rsid w:val="00AE0ACD"/>
    <w:rsid w:val="00C41F6A"/>
    <w:rsid w:val="00CC3094"/>
    <w:rsid w:val="00D417D8"/>
    <w:rsid w:val="00DA710C"/>
    <w:rsid w:val="00DF35B3"/>
    <w:rsid w:val="00E004E4"/>
    <w:rsid w:val="00E30CA3"/>
    <w:rsid w:val="00EA247B"/>
    <w:rsid w:val="00EE65E3"/>
    <w:rsid w:val="00F613D6"/>
    <w:rsid w:val="00FB6CB1"/>
    <w:rsid w:val="050F7273"/>
    <w:rsid w:val="07102FC1"/>
    <w:rsid w:val="0A0F24C2"/>
    <w:rsid w:val="0C351FFC"/>
    <w:rsid w:val="0DAA4A1E"/>
    <w:rsid w:val="0EE46BF7"/>
    <w:rsid w:val="0F27471C"/>
    <w:rsid w:val="1ED94DD7"/>
    <w:rsid w:val="2610646D"/>
    <w:rsid w:val="2A990C28"/>
    <w:rsid w:val="323808A8"/>
    <w:rsid w:val="3A5C3ADB"/>
    <w:rsid w:val="3B686E99"/>
    <w:rsid w:val="457059EE"/>
    <w:rsid w:val="49BE349F"/>
    <w:rsid w:val="4A5857E3"/>
    <w:rsid w:val="595173DA"/>
    <w:rsid w:val="5A4B16B9"/>
    <w:rsid w:val="5F7FD70D"/>
    <w:rsid w:val="61171BB0"/>
    <w:rsid w:val="62034F4A"/>
    <w:rsid w:val="69ED6211"/>
    <w:rsid w:val="6B1A7247"/>
    <w:rsid w:val="6CC33211"/>
    <w:rsid w:val="6DEA2FE4"/>
    <w:rsid w:val="731B1A14"/>
    <w:rsid w:val="75FBF613"/>
    <w:rsid w:val="783061E4"/>
    <w:rsid w:val="7859181C"/>
    <w:rsid w:val="798B16EE"/>
    <w:rsid w:val="7C450A39"/>
    <w:rsid w:val="DD5B11AC"/>
    <w:rsid w:val="DE7D0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ascii="Times New Roman" w:hAnsi="Times New Roman" w:cs="Times New Roman"/>
    </w:rPr>
  </w:style>
  <w:style w:type="paragraph" w:styleId="3">
    <w:name w:val="index 6"/>
    <w:basedOn w:val="1"/>
    <w:next w:val="1"/>
    <w:qFormat/>
    <w:uiPriority w:val="0"/>
    <w:pPr>
      <w:ind w:left="1000" w:leftChars="1000"/>
    </w:pPr>
  </w:style>
  <w:style w:type="paragraph" w:styleId="4">
    <w:name w:val="Date"/>
    <w:basedOn w:val="1"/>
    <w:next w:val="1"/>
    <w:link w:val="12"/>
    <w:semiHidden/>
    <w:unhideWhenUsed/>
    <w:qFormat/>
    <w:uiPriority w:val="99"/>
    <w:pPr>
      <w:ind w:left="100" w:leftChars="2500"/>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1 Char Char Char Char"/>
    <w:basedOn w:val="1"/>
    <w:qFormat/>
    <w:uiPriority w:val="0"/>
    <w:rPr>
      <w:rFonts w:ascii="Tahoma" w:hAnsi="Tahoma"/>
      <w:sz w:val="24"/>
      <w:szCs w:val="20"/>
    </w:rPr>
  </w:style>
  <w:style w:type="character" w:customStyle="1" w:styleId="10">
    <w:name w:val="页眉 Char"/>
    <w:basedOn w:val="8"/>
    <w:link w:val="6"/>
    <w:semiHidden/>
    <w:qFormat/>
    <w:uiPriority w:val="99"/>
    <w:rPr>
      <w:rFonts w:ascii="Times New Roman" w:hAnsi="Times New Roman" w:eastAsia="宋体" w:cs="Times New Roman"/>
      <w:sz w:val="18"/>
      <w:szCs w:val="18"/>
    </w:rPr>
  </w:style>
  <w:style w:type="character" w:customStyle="1" w:styleId="11">
    <w:name w:val="页脚 Char"/>
    <w:basedOn w:val="8"/>
    <w:link w:val="5"/>
    <w:semiHidden/>
    <w:qFormat/>
    <w:uiPriority w:val="99"/>
    <w:rPr>
      <w:rFonts w:ascii="Times New Roman" w:hAnsi="Times New Roman" w:eastAsia="宋体" w:cs="Times New Roman"/>
      <w:sz w:val="18"/>
      <w:szCs w:val="18"/>
    </w:rPr>
  </w:style>
  <w:style w:type="character" w:customStyle="1" w:styleId="12">
    <w:name w:val="日期 Char"/>
    <w:basedOn w:val="8"/>
    <w:link w:val="4"/>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2542</Words>
  <Characters>2608</Characters>
  <Lines>21</Lines>
  <Paragraphs>6</Paragraphs>
  <TotalTime>1</TotalTime>
  <ScaleCrop>false</ScaleCrop>
  <LinksUpToDate>false</LinksUpToDate>
  <CharactersWithSpaces>2638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2021-07-09T03:40:00Z</dcterms:created>
  <dc:creator>PC</dc:creator>
  <cp:lastModifiedBy>池星辰(chixingchen)</cp:lastModifiedBy>
  <cp:lastPrinted>2025-10-17T00:41:00Z</cp:lastPrinted>
  <dcterms:modified xsi:type="dcterms:W3CDTF">2026-02-06T07:48:15Z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64AFBBA3B0344E8A9D531E52090E5F1B_13</vt:lpwstr>
  </property>
  <property fmtid="{D5CDD505-2E9C-101B-9397-08002B2CF9AE}" pid="4" name="KSOTemplateDocerSaveRecord">
    <vt:lpwstr>eyJoZGlkIjoiM2NjMjhhMWQ4NTIxYTEwMDM0MjQ0NDYxNDZjOTI5NjEifQ==</vt:lpwstr>
  </property>
</Properties>
</file>