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FA80B">
      <w:pPr>
        <w:spacing w:before="113" w:line="238" w:lineRule="auto"/>
        <w:ind w:left="65"/>
        <w:rPr>
          <w:rFonts w:ascii="仿宋_GB2312" w:hAnsi="Times New Roman" w:eastAsia="仿宋_GB2312" w:cs="Times New Roman"/>
          <w:sz w:val="32"/>
          <w:szCs w:val="32"/>
          <w:lang w:eastAsia="zh-CN"/>
        </w:rPr>
      </w:pPr>
      <w:bookmarkStart w:id="0" w:name="OLE_LINK4"/>
      <w:bookmarkStart w:id="1" w:name="OLE_LINK3"/>
      <w:r>
        <w:rPr>
          <w:rFonts w:hint="eastAsia" w:ascii="仿宋_GB2312" w:hAnsi="Times New Roman" w:eastAsia="仿宋_GB2312" w:cs="Times New Roman"/>
          <w:spacing w:val="-8"/>
          <w:sz w:val="32"/>
          <w:szCs w:val="32"/>
          <w:lang w:eastAsia="zh-CN"/>
        </w:rPr>
        <w:t>附件</w:t>
      </w:r>
    </w:p>
    <w:p w14:paraId="72DE86EB">
      <w:pPr>
        <w:spacing w:line="239" w:lineRule="auto"/>
        <w:ind w:left="3080"/>
        <w:rPr>
          <w:rFonts w:ascii="方正小标宋_GBK" w:hAnsi="Times New Roman" w:eastAsia="方正小标宋_GBK" w:cs="Times New Roman"/>
          <w:sz w:val="44"/>
          <w:szCs w:val="44"/>
          <w:lang w:eastAsia="zh-CN"/>
        </w:rPr>
      </w:pPr>
      <w:bookmarkStart w:id="2" w:name="_GoBack"/>
      <w:bookmarkEnd w:id="2"/>
      <w:r>
        <w:rPr>
          <w:rFonts w:hint="eastAsia" w:ascii="方正小标宋_GBK" w:hAnsi="Times New Roman" w:eastAsia="方正小标宋_GBK" w:cs="Times New Roman"/>
          <w:spacing w:val="8"/>
          <w:sz w:val="44"/>
          <w:szCs w:val="44"/>
          <w:lang w:eastAsia="zh-CN"/>
        </w:rPr>
        <w:t>2026年新型农村集体经济项目入库名录</w:t>
      </w:r>
    </w:p>
    <w:p w14:paraId="18615A8D">
      <w:pPr>
        <w:pStyle w:val="3"/>
        <w:spacing w:before="88" w:line="222" w:lineRule="auto"/>
        <w:ind w:left="44" w:firstLine="720" w:firstLineChars="300"/>
        <w:rPr>
          <w:rFonts w:ascii="Times New Roman" w:hAnsi="Times New Roman" w:cs="Times New Roman"/>
          <w:sz w:val="24"/>
          <w:szCs w:val="24"/>
          <w:lang w:eastAsia="zh-CN"/>
        </w:rPr>
      </w:pPr>
      <w:r>
        <w:rPr>
          <w:rFonts w:ascii="Times New Roman" w:hAnsi="Times New Roman" w:cs="Times New Roman"/>
          <w:sz w:val="24"/>
          <w:szCs w:val="24"/>
          <w:lang w:eastAsia="zh-CN"/>
        </w:rPr>
        <w:t>填报单位</w:t>
      </w:r>
      <w:r>
        <w:rPr>
          <w:rFonts w:ascii="Times New Roman" w:hAnsi="Times New Roman" w:cs="Times New Roman"/>
          <w:spacing w:val="-33"/>
          <w:sz w:val="24"/>
          <w:szCs w:val="24"/>
          <w:lang w:eastAsia="zh-CN"/>
        </w:rPr>
        <w:t>：（</w:t>
      </w:r>
      <w:r>
        <w:rPr>
          <w:rFonts w:ascii="Times New Roman" w:hAnsi="Times New Roman" w:cs="Times New Roman"/>
          <w:sz w:val="24"/>
          <w:szCs w:val="24"/>
          <w:lang w:eastAsia="zh-CN"/>
        </w:rPr>
        <w:t>盖章）</w:t>
      </w:r>
      <w:r>
        <w:rPr>
          <w:rFonts w:hint="eastAsia" w:ascii="Times New Roman" w:hAnsi="Times New Roman" w:cs="Times New Roman"/>
          <w:sz w:val="24"/>
          <w:szCs w:val="24"/>
          <w:lang w:eastAsia="zh-CN"/>
        </w:rPr>
        <w:t>南京市溧水区农业农村局</w:t>
      </w:r>
      <w:r>
        <w:rPr>
          <w:rFonts w:ascii="Times New Roman" w:hAnsi="Times New Roman" w:cs="Times New Roman"/>
          <w:spacing w:val="3"/>
          <w:sz w:val="24"/>
          <w:szCs w:val="24"/>
          <w:lang w:eastAsia="zh-CN"/>
        </w:rPr>
        <w:t xml:space="preserve">       </w:t>
      </w:r>
      <w:r>
        <w:rPr>
          <w:rFonts w:ascii="Times New Roman" w:hAnsi="Times New Roman" w:cs="Times New Roman"/>
          <w:sz w:val="24"/>
          <w:szCs w:val="24"/>
          <w:lang w:eastAsia="zh-CN"/>
        </w:rPr>
        <w:t>填报时间：</w:t>
      </w:r>
      <w:r>
        <w:rPr>
          <w:rFonts w:hint="eastAsia" w:ascii="Times New Roman" w:hAnsi="Times New Roman" w:cs="Times New Roman"/>
          <w:spacing w:val="16"/>
          <w:sz w:val="24"/>
          <w:szCs w:val="24"/>
          <w:lang w:eastAsia="zh-CN"/>
        </w:rPr>
        <w:t>2025</w:t>
      </w:r>
      <w:r>
        <w:rPr>
          <w:rFonts w:ascii="Times New Roman" w:hAnsi="Times New Roman" w:cs="Times New Roman"/>
          <w:sz w:val="24"/>
          <w:szCs w:val="24"/>
          <w:lang w:eastAsia="zh-CN"/>
        </w:rPr>
        <w:t>年</w:t>
      </w:r>
      <w:r>
        <w:rPr>
          <w:rFonts w:hint="eastAsia" w:ascii="Times New Roman" w:hAnsi="Times New Roman" w:cs="Times New Roman"/>
          <w:spacing w:val="21"/>
          <w:sz w:val="24"/>
          <w:szCs w:val="24"/>
          <w:lang w:eastAsia="zh-CN"/>
        </w:rPr>
        <w:t>11</w:t>
      </w:r>
      <w:r>
        <w:rPr>
          <w:rFonts w:ascii="Times New Roman" w:hAnsi="Times New Roman" w:cs="Times New Roman"/>
          <w:sz w:val="24"/>
          <w:szCs w:val="24"/>
          <w:lang w:eastAsia="zh-CN"/>
        </w:rPr>
        <w:t>月</w:t>
      </w:r>
      <w:r>
        <w:rPr>
          <w:rFonts w:ascii="Times New Roman" w:hAnsi="Times New Roman" w:cs="Times New Roman"/>
          <w:spacing w:val="4"/>
          <w:sz w:val="24"/>
          <w:szCs w:val="24"/>
          <w:lang w:eastAsia="zh-CN"/>
        </w:rPr>
        <w:t xml:space="preserve">                </w:t>
      </w:r>
      <w:r>
        <w:rPr>
          <w:rFonts w:ascii="Times New Roman" w:hAnsi="Times New Roman" w:cs="Times New Roman"/>
          <w:sz w:val="24"/>
          <w:szCs w:val="24"/>
          <w:lang w:eastAsia="zh-CN"/>
        </w:rPr>
        <w:t>单位：万元、亩、人</w:t>
      </w:r>
    </w:p>
    <w:tbl>
      <w:tblPr>
        <w:tblStyle w:val="11"/>
        <w:tblW w:w="1371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5"/>
        <w:gridCol w:w="910"/>
        <w:gridCol w:w="712"/>
        <w:gridCol w:w="1168"/>
        <w:gridCol w:w="702"/>
        <w:gridCol w:w="740"/>
        <w:gridCol w:w="701"/>
        <w:gridCol w:w="678"/>
        <w:gridCol w:w="688"/>
        <w:gridCol w:w="1878"/>
        <w:gridCol w:w="762"/>
        <w:gridCol w:w="1019"/>
        <w:gridCol w:w="794"/>
        <w:gridCol w:w="910"/>
        <w:gridCol w:w="656"/>
        <w:gridCol w:w="646"/>
      </w:tblGrid>
      <w:tr w14:paraId="57548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755" w:type="dxa"/>
            <w:vMerge w:val="restart"/>
            <w:tcBorders>
              <w:top w:val="single" w:color="000000" w:sz="4" w:space="0"/>
              <w:left w:val="single" w:color="000000" w:sz="4" w:space="0"/>
              <w:bottom w:val="nil"/>
            </w:tcBorders>
          </w:tcPr>
          <w:p w14:paraId="5E333865">
            <w:pPr>
              <w:pStyle w:val="12"/>
              <w:spacing w:line="254" w:lineRule="auto"/>
              <w:rPr>
                <w:rFonts w:ascii="Times New Roman" w:hAnsi="Times New Roman" w:cs="Times New Roman"/>
                <w:color w:val="auto"/>
                <w:sz w:val="18"/>
                <w:szCs w:val="18"/>
                <w:lang w:eastAsia="zh-CN"/>
              </w:rPr>
            </w:pPr>
          </w:p>
          <w:p w14:paraId="0A8E12D1">
            <w:pPr>
              <w:pStyle w:val="12"/>
              <w:spacing w:line="254" w:lineRule="auto"/>
              <w:rPr>
                <w:rFonts w:ascii="Times New Roman" w:hAnsi="Times New Roman" w:cs="Times New Roman"/>
                <w:color w:val="auto"/>
                <w:sz w:val="18"/>
                <w:szCs w:val="18"/>
                <w:lang w:eastAsia="zh-CN"/>
              </w:rPr>
            </w:pPr>
          </w:p>
          <w:p w14:paraId="656B6829">
            <w:pPr>
              <w:spacing w:before="73" w:line="296" w:lineRule="exact"/>
              <w:ind w:left="165"/>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6"/>
                <w:position w:val="2"/>
                <w:sz w:val="18"/>
                <w:szCs w:val="18"/>
              </w:rPr>
              <w:t>序号</w:t>
            </w:r>
          </w:p>
        </w:tc>
        <w:tc>
          <w:tcPr>
            <w:tcW w:w="910" w:type="dxa"/>
            <w:vMerge w:val="restart"/>
            <w:tcBorders>
              <w:top w:val="single" w:color="000000" w:sz="4" w:space="0"/>
              <w:bottom w:val="nil"/>
            </w:tcBorders>
          </w:tcPr>
          <w:p w14:paraId="60896516">
            <w:pPr>
              <w:pStyle w:val="12"/>
              <w:spacing w:line="253" w:lineRule="auto"/>
              <w:rPr>
                <w:rFonts w:ascii="Times New Roman" w:hAnsi="Times New Roman" w:cs="Times New Roman"/>
                <w:color w:val="auto"/>
                <w:sz w:val="18"/>
                <w:szCs w:val="18"/>
              </w:rPr>
            </w:pPr>
          </w:p>
          <w:p w14:paraId="156EE068">
            <w:pPr>
              <w:pStyle w:val="12"/>
              <w:spacing w:line="254" w:lineRule="auto"/>
              <w:rPr>
                <w:rFonts w:ascii="Times New Roman" w:hAnsi="Times New Roman" w:cs="Times New Roman"/>
                <w:color w:val="auto"/>
                <w:sz w:val="18"/>
                <w:szCs w:val="18"/>
              </w:rPr>
            </w:pPr>
          </w:p>
          <w:p w14:paraId="31834CA3">
            <w:pPr>
              <w:spacing w:before="73" w:line="242" w:lineRule="auto"/>
              <w:ind w:left="245"/>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4"/>
                <w:sz w:val="18"/>
                <w:szCs w:val="18"/>
              </w:rPr>
              <w:t>村名</w:t>
            </w:r>
          </w:p>
        </w:tc>
        <w:tc>
          <w:tcPr>
            <w:tcW w:w="7267" w:type="dxa"/>
            <w:gridSpan w:val="8"/>
            <w:tcBorders>
              <w:top w:val="single" w:color="000000" w:sz="4" w:space="0"/>
            </w:tcBorders>
          </w:tcPr>
          <w:p w14:paraId="3C0BFC0F">
            <w:pPr>
              <w:spacing w:before="85" w:line="208" w:lineRule="auto"/>
              <w:ind w:left="3009"/>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7"/>
                <w:sz w:val="18"/>
                <w:szCs w:val="18"/>
              </w:rPr>
              <w:t>拟建项目情况</w:t>
            </w:r>
          </w:p>
        </w:tc>
        <w:tc>
          <w:tcPr>
            <w:tcW w:w="4787" w:type="dxa"/>
            <w:gridSpan w:val="6"/>
            <w:tcBorders>
              <w:top w:val="single" w:color="000000" w:sz="4" w:space="0"/>
              <w:right w:val="single" w:color="000000" w:sz="4" w:space="0"/>
            </w:tcBorders>
          </w:tcPr>
          <w:p w14:paraId="01EFEC6D">
            <w:pPr>
              <w:spacing w:before="85" w:line="208" w:lineRule="auto"/>
              <w:ind w:left="1667"/>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8"/>
                <w:sz w:val="18"/>
                <w:szCs w:val="18"/>
              </w:rPr>
              <w:t>资金投入及构成</w:t>
            </w:r>
          </w:p>
        </w:tc>
      </w:tr>
      <w:tr w14:paraId="063E6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55" w:type="dxa"/>
            <w:vMerge w:val="continue"/>
            <w:tcBorders>
              <w:top w:val="nil"/>
              <w:left w:val="single" w:color="000000" w:sz="4" w:space="0"/>
              <w:bottom w:val="nil"/>
            </w:tcBorders>
          </w:tcPr>
          <w:p w14:paraId="2E476679">
            <w:pPr>
              <w:pStyle w:val="12"/>
              <w:rPr>
                <w:rFonts w:ascii="Times New Roman" w:hAnsi="Times New Roman" w:cs="Times New Roman"/>
                <w:color w:val="auto"/>
                <w:sz w:val="18"/>
                <w:szCs w:val="18"/>
              </w:rPr>
            </w:pPr>
          </w:p>
        </w:tc>
        <w:tc>
          <w:tcPr>
            <w:tcW w:w="910" w:type="dxa"/>
            <w:vMerge w:val="continue"/>
            <w:tcBorders>
              <w:top w:val="nil"/>
              <w:bottom w:val="nil"/>
            </w:tcBorders>
          </w:tcPr>
          <w:p w14:paraId="407A7638">
            <w:pPr>
              <w:pStyle w:val="12"/>
              <w:rPr>
                <w:rFonts w:ascii="Times New Roman" w:hAnsi="Times New Roman" w:cs="Times New Roman"/>
                <w:color w:val="auto"/>
                <w:sz w:val="18"/>
                <w:szCs w:val="18"/>
              </w:rPr>
            </w:pPr>
          </w:p>
        </w:tc>
        <w:tc>
          <w:tcPr>
            <w:tcW w:w="712" w:type="dxa"/>
            <w:vMerge w:val="restart"/>
            <w:tcBorders>
              <w:bottom w:val="nil"/>
            </w:tcBorders>
          </w:tcPr>
          <w:p w14:paraId="015E66C5">
            <w:pPr>
              <w:pStyle w:val="12"/>
              <w:spacing w:line="330" w:lineRule="auto"/>
              <w:rPr>
                <w:rFonts w:ascii="Times New Roman" w:hAnsi="Times New Roman" w:cs="Times New Roman"/>
                <w:color w:val="auto"/>
                <w:sz w:val="18"/>
                <w:szCs w:val="18"/>
              </w:rPr>
            </w:pPr>
          </w:p>
          <w:p w14:paraId="342AE0F1">
            <w:pPr>
              <w:spacing w:before="73" w:line="242" w:lineRule="auto"/>
              <w:ind w:left="148"/>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3"/>
                <w:sz w:val="18"/>
                <w:szCs w:val="18"/>
              </w:rPr>
              <w:t>人口</w:t>
            </w:r>
          </w:p>
        </w:tc>
        <w:tc>
          <w:tcPr>
            <w:tcW w:w="1168" w:type="dxa"/>
            <w:vMerge w:val="restart"/>
            <w:tcBorders>
              <w:bottom w:val="nil"/>
            </w:tcBorders>
          </w:tcPr>
          <w:p w14:paraId="5127B6CE">
            <w:pPr>
              <w:spacing w:before="243" w:line="254" w:lineRule="auto"/>
              <w:ind w:left="61" w:right="61" w:firstLine="212"/>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6"/>
                <w:sz w:val="18"/>
                <w:szCs w:val="18"/>
              </w:rPr>
              <w:t>上年度</w:t>
            </w:r>
            <w:r>
              <w:rPr>
                <w:rFonts w:ascii="Times New Roman" w:hAnsi="Times New Roman" w:eastAsia="方正黑体_GBK" w:cs="Times New Roman"/>
                <w:color w:val="auto"/>
                <w:sz w:val="18"/>
                <w:szCs w:val="18"/>
              </w:rPr>
              <w:t xml:space="preserve">     </w:t>
            </w:r>
            <w:r>
              <w:rPr>
                <w:rFonts w:ascii="Times New Roman" w:hAnsi="Times New Roman" w:eastAsia="方正黑体_GBK" w:cs="Times New Roman"/>
                <w:color w:val="auto"/>
                <w:spacing w:val="7"/>
                <w:sz w:val="18"/>
                <w:szCs w:val="18"/>
              </w:rPr>
              <w:t>经营性收入</w:t>
            </w:r>
          </w:p>
        </w:tc>
        <w:tc>
          <w:tcPr>
            <w:tcW w:w="3509" w:type="dxa"/>
            <w:gridSpan w:val="5"/>
          </w:tcPr>
          <w:p w14:paraId="1647243F">
            <w:pPr>
              <w:spacing w:before="79" w:line="209" w:lineRule="auto"/>
              <w:ind w:left="1338"/>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7"/>
                <w:sz w:val="18"/>
                <w:szCs w:val="18"/>
              </w:rPr>
              <w:t>项目类型</w:t>
            </w:r>
          </w:p>
        </w:tc>
        <w:tc>
          <w:tcPr>
            <w:tcW w:w="1878" w:type="dxa"/>
            <w:vMerge w:val="restart"/>
            <w:tcBorders>
              <w:bottom w:val="nil"/>
            </w:tcBorders>
          </w:tcPr>
          <w:p w14:paraId="2B018ABF">
            <w:pPr>
              <w:pStyle w:val="12"/>
              <w:spacing w:line="330" w:lineRule="auto"/>
              <w:rPr>
                <w:rFonts w:ascii="Times New Roman" w:hAnsi="Times New Roman" w:cs="Times New Roman"/>
                <w:color w:val="auto"/>
                <w:sz w:val="18"/>
                <w:szCs w:val="18"/>
              </w:rPr>
            </w:pPr>
          </w:p>
          <w:p w14:paraId="2F973FE9">
            <w:pPr>
              <w:spacing w:before="73" w:line="241" w:lineRule="auto"/>
              <w:ind w:left="313"/>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8"/>
                <w:sz w:val="18"/>
                <w:szCs w:val="18"/>
              </w:rPr>
              <w:t>项目简要描述</w:t>
            </w:r>
          </w:p>
        </w:tc>
        <w:tc>
          <w:tcPr>
            <w:tcW w:w="762" w:type="dxa"/>
            <w:vMerge w:val="restart"/>
            <w:tcBorders>
              <w:bottom w:val="nil"/>
            </w:tcBorders>
            <w:textDirection w:val="tbRlV"/>
          </w:tcPr>
          <w:p w14:paraId="4B3AAE69">
            <w:pPr>
              <w:spacing w:before="273" w:line="209" w:lineRule="auto"/>
              <w:ind w:left="244"/>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34"/>
                <w:sz w:val="18"/>
                <w:szCs w:val="18"/>
              </w:rPr>
              <w:t>合</w:t>
            </w:r>
            <w:r>
              <w:rPr>
                <w:rFonts w:ascii="Times New Roman" w:hAnsi="Times New Roman" w:eastAsia="方正黑体_GBK" w:cs="Times New Roman"/>
                <w:color w:val="auto"/>
                <w:spacing w:val="29"/>
                <w:w w:val="101"/>
                <w:sz w:val="18"/>
                <w:szCs w:val="18"/>
              </w:rPr>
              <w:t xml:space="preserve"> </w:t>
            </w:r>
            <w:r>
              <w:rPr>
                <w:rFonts w:ascii="Times New Roman" w:hAnsi="Times New Roman" w:eastAsia="方正黑体_GBK" w:cs="Times New Roman"/>
                <w:color w:val="auto"/>
                <w:spacing w:val="34"/>
                <w:sz w:val="18"/>
                <w:szCs w:val="18"/>
              </w:rPr>
              <w:t>计</w:t>
            </w:r>
          </w:p>
        </w:tc>
        <w:tc>
          <w:tcPr>
            <w:tcW w:w="1019" w:type="dxa"/>
            <w:vMerge w:val="restart"/>
            <w:tcBorders>
              <w:bottom w:val="nil"/>
            </w:tcBorders>
          </w:tcPr>
          <w:p w14:paraId="7E24DEB5">
            <w:pPr>
              <w:spacing w:before="243" w:line="255" w:lineRule="auto"/>
              <w:ind w:left="307" w:right="86" w:hanging="212"/>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7"/>
                <w:sz w:val="18"/>
                <w:szCs w:val="18"/>
              </w:rPr>
              <w:t>省级以上</w:t>
            </w:r>
            <w:r>
              <w:rPr>
                <w:rFonts w:ascii="Times New Roman" w:hAnsi="Times New Roman" w:eastAsia="方正黑体_GBK" w:cs="Times New Roman"/>
                <w:color w:val="auto"/>
                <w:spacing w:val="2"/>
                <w:sz w:val="18"/>
                <w:szCs w:val="18"/>
              </w:rPr>
              <w:t xml:space="preserve"> </w:t>
            </w:r>
            <w:r>
              <w:rPr>
                <w:rFonts w:ascii="Times New Roman" w:hAnsi="Times New Roman" w:eastAsia="方正黑体_GBK" w:cs="Times New Roman"/>
                <w:color w:val="auto"/>
                <w:spacing w:val="4"/>
                <w:sz w:val="18"/>
                <w:szCs w:val="18"/>
              </w:rPr>
              <w:t>财政</w:t>
            </w:r>
          </w:p>
        </w:tc>
        <w:tc>
          <w:tcPr>
            <w:tcW w:w="794" w:type="dxa"/>
            <w:vMerge w:val="restart"/>
            <w:tcBorders>
              <w:bottom w:val="nil"/>
            </w:tcBorders>
          </w:tcPr>
          <w:p w14:paraId="679F1C49">
            <w:pPr>
              <w:spacing w:before="243" w:line="255" w:lineRule="auto"/>
              <w:ind w:left="194" w:right="184" w:firstLine="4"/>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2"/>
                <w:sz w:val="18"/>
                <w:szCs w:val="18"/>
              </w:rPr>
              <w:t>市县</w:t>
            </w:r>
            <w:r>
              <w:rPr>
                <w:rFonts w:ascii="Times New Roman" w:hAnsi="Times New Roman" w:eastAsia="方正黑体_GBK" w:cs="Times New Roman"/>
                <w:color w:val="auto"/>
                <w:sz w:val="18"/>
                <w:szCs w:val="18"/>
              </w:rPr>
              <w:t xml:space="preserve"> </w:t>
            </w:r>
            <w:r>
              <w:rPr>
                <w:rFonts w:ascii="Times New Roman" w:hAnsi="Times New Roman" w:eastAsia="方正黑体_GBK" w:cs="Times New Roman"/>
                <w:color w:val="auto"/>
                <w:spacing w:val="4"/>
                <w:sz w:val="18"/>
                <w:szCs w:val="18"/>
              </w:rPr>
              <w:t>财政</w:t>
            </w:r>
          </w:p>
        </w:tc>
        <w:tc>
          <w:tcPr>
            <w:tcW w:w="910" w:type="dxa"/>
            <w:vMerge w:val="restart"/>
            <w:tcBorders>
              <w:bottom w:val="nil"/>
            </w:tcBorders>
          </w:tcPr>
          <w:p w14:paraId="5F325F21">
            <w:pPr>
              <w:spacing w:before="243" w:line="255" w:lineRule="auto"/>
              <w:ind w:left="255" w:right="240" w:firstLine="12"/>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2"/>
                <w:sz w:val="18"/>
                <w:szCs w:val="18"/>
              </w:rPr>
              <w:t>乡镇</w:t>
            </w:r>
            <w:r>
              <w:rPr>
                <w:rFonts w:ascii="Times New Roman" w:hAnsi="Times New Roman" w:eastAsia="方正黑体_GBK" w:cs="Times New Roman"/>
                <w:color w:val="auto"/>
                <w:sz w:val="18"/>
                <w:szCs w:val="18"/>
              </w:rPr>
              <w:t xml:space="preserve"> </w:t>
            </w:r>
            <w:r>
              <w:rPr>
                <w:rFonts w:ascii="Times New Roman" w:hAnsi="Times New Roman" w:eastAsia="方正黑体_GBK" w:cs="Times New Roman"/>
                <w:color w:val="auto"/>
                <w:spacing w:val="4"/>
                <w:sz w:val="18"/>
                <w:szCs w:val="18"/>
              </w:rPr>
              <w:t>财政</w:t>
            </w:r>
          </w:p>
        </w:tc>
        <w:tc>
          <w:tcPr>
            <w:tcW w:w="656" w:type="dxa"/>
            <w:vMerge w:val="restart"/>
            <w:tcBorders>
              <w:bottom w:val="nil"/>
            </w:tcBorders>
          </w:tcPr>
          <w:p w14:paraId="260ACAC9">
            <w:pPr>
              <w:spacing w:before="243" w:line="254" w:lineRule="auto"/>
              <w:ind w:left="133" w:right="111" w:hanging="2"/>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3"/>
                <w:sz w:val="18"/>
                <w:szCs w:val="18"/>
              </w:rPr>
              <w:t>集体</w:t>
            </w:r>
            <w:r>
              <w:rPr>
                <w:rFonts w:ascii="Times New Roman" w:hAnsi="Times New Roman" w:eastAsia="方正黑体_GBK" w:cs="Times New Roman"/>
                <w:color w:val="auto"/>
                <w:sz w:val="18"/>
                <w:szCs w:val="18"/>
              </w:rPr>
              <w:t xml:space="preserve"> </w:t>
            </w:r>
            <w:r>
              <w:rPr>
                <w:rFonts w:ascii="Times New Roman" w:hAnsi="Times New Roman" w:eastAsia="方正黑体_GBK" w:cs="Times New Roman"/>
                <w:color w:val="auto"/>
                <w:spacing w:val="2"/>
                <w:sz w:val="18"/>
                <w:szCs w:val="18"/>
              </w:rPr>
              <w:t>资金</w:t>
            </w:r>
          </w:p>
        </w:tc>
        <w:tc>
          <w:tcPr>
            <w:tcW w:w="646" w:type="dxa"/>
            <w:vMerge w:val="restart"/>
            <w:tcBorders>
              <w:bottom w:val="nil"/>
              <w:right w:val="single" w:color="000000" w:sz="4" w:space="0"/>
            </w:tcBorders>
          </w:tcPr>
          <w:p w14:paraId="103A0ED9">
            <w:pPr>
              <w:pStyle w:val="12"/>
              <w:spacing w:line="330" w:lineRule="auto"/>
              <w:rPr>
                <w:rFonts w:ascii="Times New Roman" w:hAnsi="Times New Roman" w:cs="Times New Roman"/>
                <w:color w:val="auto"/>
                <w:sz w:val="18"/>
                <w:szCs w:val="18"/>
              </w:rPr>
            </w:pPr>
          </w:p>
          <w:p w14:paraId="63F62B0A">
            <w:pPr>
              <w:spacing w:before="73" w:line="242" w:lineRule="auto"/>
              <w:ind w:left="125"/>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2"/>
                <w:sz w:val="18"/>
                <w:szCs w:val="18"/>
              </w:rPr>
              <w:t>其他</w:t>
            </w:r>
          </w:p>
        </w:tc>
      </w:tr>
      <w:tr w14:paraId="1EAB2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55" w:type="dxa"/>
            <w:vMerge w:val="continue"/>
            <w:tcBorders>
              <w:top w:val="nil"/>
              <w:left w:val="single" w:color="000000" w:sz="4" w:space="0"/>
            </w:tcBorders>
          </w:tcPr>
          <w:p w14:paraId="6B3EC2F1">
            <w:pPr>
              <w:pStyle w:val="12"/>
              <w:rPr>
                <w:rFonts w:ascii="Times New Roman" w:hAnsi="Times New Roman" w:cs="Times New Roman"/>
                <w:color w:val="auto"/>
                <w:sz w:val="18"/>
                <w:szCs w:val="18"/>
              </w:rPr>
            </w:pPr>
          </w:p>
        </w:tc>
        <w:tc>
          <w:tcPr>
            <w:tcW w:w="910" w:type="dxa"/>
            <w:vMerge w:val="continue"/>
            <w:tcBorders>
              <w:top w:val="nil"/>
            </w:tcBorders>
          </w:tcPr>
          <w:p w14:paraId="3841CE50">
            <w:pPr>
              <w:pStyle w:val="12"/>
              <w:rPr>
                <w:rFonts w:ascii="Times New Roman" w:hAnsi="Times New Roman" w:cs="Times New Roman"/>
                <w:color w:val="auto"/>
                <w:sz w:val="18"/>
                <w:szCs w:val="18"/>
              </w:rPr>
            </w:pPr>
          </w:p>
        </w:tc>
        <w:tc>
          <w:tcPr>
            <w:tcW w:w="712" w:type="dxa"/>
            <w:vMerge w:val="continue"/>
            <w:tcBorders>
              <w:top w:val="nil"/>
            </w:tcBorders>
          </w:tcPr>
          <w:p w14:paraId="5E26F4A6">
            <w:pPr>
              <w:pStyle w:val="12"/>
              <w:rPr>
                <w:rFonts w:ascii="Times New Roman" w:hAnsi="Times New Roman" w:cs="Times New Roman"/>
                <w:color w:val="auto"/>
                <w:sz w:val="18"/>
                <w:szCs w:val="18"/>
              </w:rPr>
            </w:pPr>
          </w:p>
        </w:tc>
        <w:tc>
          <w:tcPr>
            <w:tcW w:w="1168" w:type="dxa"/>
            <w:vMerge w:val="continue"/>
            <w:tcBorders>
              <w:top w:val="nil"/>
            </w:tcBorders>
          </w:tcPr>
          <w:p w14:paraId="24407E42">
            <w:pPr>
              <w:pStyle w:val="12"/>
              <w:rPr>
                <w:rFonts w:ascii="Times New Roman" w:hAnsi="Times New Roman" w:cs="Times New Roman"/>
                <w:color w:val="auto"/>
                <w:sz w:val="18"/>
                <w:szCs w:val="18"/>
              </w:rPr>
            </w:pPr>
          </w:p>
        </w:tc>
        <w:tc>
          <w:tcPr>
            <w:tcW w:w="702" w:type="dxa"/>
          </w:tcPr>
          <w:p w14:paraId="023DE685">
            <w:pPr>
              <w:spacing w:before="69" w:line="231" w:lineRule="auto"/>
              <w:ind w:left="144" w:right="141" w:firstLine="5"/>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2"/>
                <w:sz w:val="18"/>
                <w:szCs w:val="18"/>
              </w:rPr>
              <w:t>资源</w:t>
            </w:r>
            <w:r>
              <w:rPr>
                <w:rFonts w:ascii="Times New Roman" w:hAnsi="Times New Roman" w:eastAsia="方正黑体_GBK" w:cs="Times New Roman"/>
                <w:color w:val="auto"/>
                <w:sz w:val="18"/>
                <w:szCs w:val="18"/>
              </w:rPr>
              <w:t xml:space="preserve"> </w:t>
            </w:r>
            <w:r>
              <w:rPr>
                <w:rFonts w:ascii="Times New Roman" w:hAnsi="Times New Roman" w:eastAsia="方正黑体_GBK" w:cs="Times New Roman"/>
                <w:color w:val="auto"/>
                <w:spacing w:val="5"/>
                <w:sz w:val="18"/>
                <w:szCs w:val="18"/>
              </w:rPr>
              <w:t>发包</w:t>
            </w:r>
          </w:p>
        </w:tc>
        <w:tc>
          <w:tcPr>
            <w:tcW w:w="740" w:type="dxa"/>
          </w:tcPr>
          <w:p w14:paraId="35D564E1">
            <w:pPr>
              <w:spacing w:before="69" w:line="231" w:lineRule="auto"/>
              <w:ind w:left="180" w:right="161" w:hanging="16"/>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4"/>
                <w:sz w:val="18"/>
                <w:szCs w:val="18"/>
              </w:rPr>
              <w:t>物业</w:t>
            </w:r>
            <w:r>
              <w:rPr>
                <w:rFonts w:ascii="Times New Roman" w:hAnsi="Times New Roman" w:eastAsia="方正黑体_GBK" w:cs="Times New Roman"/>
                <w:color w:val="auto"/>
                <w:sz w:val="18"/>
                <w:szCs w:val="18"/>
              </w:rPr>
              <w:t xml:space="preserve"> </w:t>
            </w:r>
            <w:r>
              <w:rPr>
                <w:rFonts w:ascii="Times New Roman" w:hAnsi="Times New Roman" w:eastAsia="方正黑体_GBK" w:cs="Times New Roman"/>
                <w:color w:val="auto"/>
                <w:spacing w:val="-4"/>
                <w:sz w:val="18"/>
                <w:szCs w:val="18"/>
              </w:rPr>
              <w:t>出租</w:t>
            </w:r>
          </w:p>
        </w:tc>
        <w:tc>
          <w:tcPr>
            <w:tcW w:w="701" w:type="dxa"/>
          </w:tcPr>
          <w:p w14:paraId="7B0C8F99">
            <w:pPr>
              <w:spacing w:before="69" w:line="231" w:lineRule="auto"/>
              <w:ind w:left="145" w:right="140" w:hanging="3"/>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6"/>
                <w:sz w:val="18"/>
                <w:szCs w:val="18"/>
              </w:rPr>
              <w:t>居间</w:t>
            </w:r>
            <w:r>
              <w:rPr>
                <w:rFonts w:ascii="Times New Roman" w:hAnsi="Times New Roman" w:eastAsia="方正黑体_GBK" w:cs="Times New Roman"/>
                <w:color w:val="auto"/>
                <w:sz w:val="18"/>
                <w:szCs w:val="18"/>
              </w:rPr>
              <w:t xml:space="preserve"> </w:t>
            </w:r>
            <w:r>
              <w:rPr>
                <w:rFonts w:ascii="Times New Roman" w:hAnsi="Times New Roman" w:eastAsia="方正黑体_GBK" w:cs="Times New Roman"/>
                <w:color w:val="auto"/>
                <w:spacing w:val="4"/>
                <w:sz w:val="18"/>
                <w:szCs w:val="18"/>
              </w:rPr>
              <w:t>服务</w:t>
            </w:r>
          </w:p>
        </w:tc>
        <w:tc>
          <w:tcPr>
            <w:tcW w:w="678" w:type="dxa"/>
          </w:tcPr>
          <w:p w14:paraId="26374DD8">
            <w:pPr>
              <w:spacing w:before="69" w:line="231" w:lineRule="auto"/>
              <w:ind w:left="134" w:right="129" w:firstLine="4"/>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2"/>
                <w:sz w:val="18"/>
                <w:szCs w:val="18"/>
              </w:rPr>
              <w:t>资产</w:t>
            </w:r>
            <w:r>
              <w:rPr>
                <w:rFonts w:ascii="Times New Roman" w:hAnsi="Times New Roman" w:eastAsia="方正黑体_GBK" w:cs="Times New Roman"/>
                <w:color w:val="auto"/>
                <w:sz w:val="18"/>
                <w:szCs w:val="18"/>
              </w:rPr>
              <w:t xml:space="preserve"> </w:t>
            </w:r>
            <w:r>
              <w:rPr>
                <w:rFonts w:ascii="Times New Roman" w:hAnsi="Times New Roman" w:eastAsia="方正黑体_GBK" w:cs="Times New Roman"/>
                <w:color w:val="auto"/>
                <w:spacing w:val="4"/>
                <w:sz w:val="18"/>
                <w:szCs w:val="18"/>
              </w:rPr>
              <w:t>参股</w:t>
            </w:r>
          </w:p>
        </w:tc>
        <w:tc>
          <w:tcPr>
            <w:tcW w:w="688" w:type="dxa"/>
          </w:tcPr>
          <w:p w14:paraId="5742014A">
            <w:pPr>
              <w:spacing w:before="231" w:line="242" w:lineRule="auto"/>
              <w:ind w:left="145"/>
              <w:rPr>
                <w:rFonts w:ascii="Times New Roman" w:hAnsi="Times New Roman" w:eastAsia="方正黑体_GBK" w:cs="Times New Roman"/>
                <w:color w:val="auto"/>
                <w:sz w:val="18"/>
                <w:szCs w:val="18"/>
              </w:rPr>
            </w:pPr>
            <w:r>
              <w:rPr>
                <w:rFonts w:ascii="Times New Roman" w:hAnsi="Times New Roman" w:eastAsia="方正黑体_GBK" w:cs="Times New Roman"/>
                <w:color w:val="auto"/>
                <w:spacing w:val="2"/>
                <w:sz w:val="18"/>
                <w:szCs w:val="18"/>
              </w:rPr>
              <w:t>其他</w:t>
            </w:r>
          </w:p>
        </w:tc>
        <w:tc>
          <w:tcPr>
            <w:tcW w:w="1878" w:type="dxa"/>
            <w:vMerge w:val="continue"/>
            <w:tcBorders>
              <w:top w:val="nil"/>
            </w:tcBorders>
          </w:tcPr>
          <w:p w14:paraId="3DD4BDB1">
            <w:pPr>
              <w:pStyle w:val="12"/>
              <w:rPr>
                <w:rFonts w:ascii="Times New Roman" w:hAnsi="Times New Roman" w:cs="Times New Roman"/>
                <w:color w:val="auto"/>
                <w:sz w:val="18"/>
                <w:szCs w:val="18"/>
              </w:rPr>
            </w:pPr>
          </w:p>
        </w:tc>
        <w:tc>
          <w:tcPr>
            <w:tcW w:w="762" w:type="dxa"/>
            <w:vMerge w:val="continue"/>
            <w:tcBorders>
              <w:top w:val="nil"/>
            </w:tcBorders>
            <w:textDirection w:val="tbRlV"/>
          </w:tcPr>
          <w:p w14:paraId="014399E2">
            <w:pPr>
              <w:pStyle w:val="12"/>
              <w:rPr>
                <w:rFonts w:ascii="Times New Roman" w:hAnsi="Times New Roman" w:cs="Times New Roman"/>
                <w:color w:val="auto"/>
                <w:sz w:val="18"/>
                <w:szCs w:val="18"/>
              </w:rPr>
            </w:pPr>
          </w:p>
        </w:tc>
        <w:tc>
          <w:tcPr>
            <w:tcW w:w="1019" w:type="dxa"/>
            <w:vMerge w:val="continue"/>
            <w:tcBorders>
              <w:top w:val="nil"/>
            </w:tcBorders>
          </w:tcPr>
          <w:p w14:paraId="65CFFE34">
            <w:pPr>
              <w:pStyle w:val="12"/>
              <w:rPr>
                <w:rFonts w:ascii="Times New Roman" w:hAnsi="Times New Roman" w:cs="Times New Roman"/>
                <w:color w:val="auto"/>
                <w:sz w:val="18"/>
                <w:szCs w:val="18"/>
              </w:rPr>
            </w:pPr>
          </w:p>
        </w:tc>
        <w:tc>
          <w:tcPr>
            <w:tcW w:w="794" w:type="dxa"/>
            <w:vMerge w:val="continue"/>
            <w:tcBorders>
              <w:top w:val="nil"/>
            </w:tcBorders>
          </w:tcPr>
          <w:p w14:paraId="29A0D7FD">
            <w:pPr>
              <w:pStyle w:val="12"/>
              <w:rPr>
                <w:rFonts w:ascii="Times New Roman" w:hAnsi="Times New Roman" w:cs="Times New Roman"/>
                <w:color w:val="auto"/>
                <w:sz w:val="18"/>
                <w:szCs w:val="18"/>
              </w:rPr>
            </w:pPr>
          </w:p>
        </w:tc>
        <w:tc>
          <w:tcPr>
            <w:tcW w:w="910" w:type="dxa"/>
            <w:vMerge w:val="continue"/>
            <w:tcBorders>
              <w:top w:val="nil"/>
            </w:tcBorders>
          </w:tcPr>
          <w:p w14:paraId="5326CA55">
            <w:pPr>
              <w:pStyle w:val="12"/>
              <w:rPr>
                <w:rFonts w:ascii="Times New Roman" w:hAnsi="Times New Roman" w:cs="Times New Roman"/>
                <w:color w:val="auto"/>
                <w:sz w:val="18"/>
                <w:szCs w:val="18"/>
              </w:rPr>
            </w:pPr>
          </w:p>
        </w:tc>
        <w:tc>
          <w:tcPr>
            <w:tcW w:w="656" w:type="dxa"/>
            <w:vMerge w:val="continue"/>
            <w:tcBorders>
              <w:top w:val="nil"/>
            </w:tcBorders>
          </w:tcPr>
          <w:p w14:paraId="43198119">
            <w:pPr>
              <w:pStyle w:val="12"/>
              <w:rPr>
                <w:rFonts w:ascii="Times New Roman" w:hAnsi="Times New Roman" w:cs="Times New Roman"/>
                <w:color w:val="auto"/>
                <w:sz w:val="18"/>
                <w:szCs w:val="18"/>
              </w:rPr>
            </w:pPr>
          </w:p>
        </w:tc>
        <w:tc>
          <w:tcPr>
            <w:tcW w:w="646" w:type="dxa"/>
            <w:vMerge w:val="continue"/>
            <w:tcBorders>
              <w:top w:val="nil"/>
              <w:right w:val="single" w:color="000000" w:sz="4" w:space="0"/>
            </w:tcBorders>
          </w:tcPr>
          <w:p w14:paraId="1C65EB4A">
            <w:pPr>
              <w:pStyle w:val="12"/>
              <w:rPr>
                <w:rFonts w:ascii="Times New Roman" w:hAnsi="Times New Roman" w:cs="Times New Roman"/>
                <w:color w:val="auto"/>
                <w:sz w:val="18"/>
                <w:szCs w:val="18"/>
              </w:rPr>
            </w:pPr>
          </w:p>
        </w:tc>
      </w:tr>
      <w:tr w14:paraId="1DE46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trPr>
        <w:tc>
          <w:tcPr>
            <w:tcW w:w="755" w:type="dxa"/>
            <w:tcBorders>
              <w:left w:val="single" w:color="000000" w:sz="4" w:space="0"/>
            </w:tcBorders>
            <w:vAlign w:val="center"/>
          </w:tcPr>
          <w:p w14:paraId="22E52145">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1</w:t>
            </w:r>
          </w:p>
        </w:tc>
        <w:tc>
          <w:tcPr>
            <w:tcW w:w="910" w:type="dxa"/>
            <w:vAlign w:val="center"/>
          </w:tcPr>
          <w:p w14:paraId="04B60167">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和凤镇沈家山村</w:t>
            </w:r>
          </w:p>
        </w:tc>
        <w:tc>
          <w:tcPr>
            <w:tcW w:w="712" w:type="dxa"/>
            <w:vAlign w:val="center"/>
          </w:tcPr>
          <w:p w14:paraId="437C1C89">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3267</w:t>
            </w:r>
          </w:p>
        </w:tc>
        <w:tc>
          <w:tcPr>
            <w:tcW w:w="1168" w:type="dxa"/>
            <w:vAlign w:val="center"/>
          </w:tcPr>
          <w:p w14:paraId="31426CFF">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113.69</w:t>
            </w:r>
          </w:p>
        </w:tc>
        <w:tc>
          <w:tcPr>
            <w:tcW w:w="702" w:type="dxa"/>
            <w:vAlign w:val="center"/>
          </w:tcPr>
          <w:p w14:paraId="57F4CC67">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w:t>
            </w:r>
          </w:p>
        </w:tc>
        <w:tc>
          <w:tcPr>
            <w:tcW w:w="740" w:type="dxa"/>
            <w:vAlign w:val="center"/>
          </w:tcPr>
          <w:p w14:paraId="19662C34">
            <w:pPr>
              <w:pStyle w:val="12"/>
              <w:jc w:val="center"/>
              <w:rPr>
                <w:rFonts w:ascii="Times New Roman" w:hAnsi="Times New Roman" w:cs="Times New Roman"/>
                <w:color w:val="auto"/>
                <w:sz w:val="18"/>
                <w:szCs w:val="18"/>
              </w:rPr>
            </w:pPr>
          </w:p>
        </w:tc>
        <w:tc>
          <w:tcPr>
            <w:tcW w:w="701" w:type="dxa"/>
            <w:vAlign w:val="center"/>
          </w:tcPr>
          <w:p w14:paraId="031BCD9F">
            <w:pPr>
              <w:pStyle w:val="12"/>
              <w:jc w:val="center"/>
              <w:rPr>
                <w:color w:val="auto"/>
                <w:sz w:val="18"/>
                <w:szCs w:val="18"/>
              </w:rPr>
            </w:pPr>
          </w:p>
        </w:tc>
        <w:tc>
          <w:tcPr>
            <w:tcW w:w="678" w:type="dxa"/>
            <w:vAlign w:val="center"/>
          </w:tcPr>
          <w:p w14:paraId="5AF3886B">
            <w:pPr>
              <w:pStyle w:val="12"/>
              <w:jc w:val="center"/>
              <w:rPr>
                <w:rFonts w:ascii="Times New Roman" w:hAnsi="Times New Roman" w:cs="Times New Roman"/>
                <w:color w:val="auto"/>
                <w:sz w:val="18"/>
                <w:szCs w:val="18"/>
              </w:rPr>
            </w:pPr>
          </w:p>
        </w:tc>
        <w:tc>
          <w:tcPr>
            <w:tcW w:w="688" w:type="dxa"/>
            <w:vAlign w:val="center"/>
          </w:tcPr>
          <w:p w14:paraId="13A655D3">
            <w:pPr>
              <w:pStyle w:val="12"/>
              <w:jc w:val="center"/>
              <w:rPr>
                <w:rFonts w:ascii="Times New Roman" w:hAnsi="Times New Roman" w:cs="Times New Roman"/>
                <w:color w:val="auto"/>
                <w:sz w:val="18"/>
                <w:szCs w:val="18"/>
              </w:rPr>
            </w:pPr>
          </w:p>
        </w:tc>
        <w:tc>
          <w:tcPr>
            <w:tcW w:w="1878" w:type="dxa"/>
            <w:vAlign w:val="center"/>
          </w:tcPr>
          <w:p w14:paraId="1BCCD39C">
            <w:pPr>
              <w:pStyle w:val="12"/>
              <w:rPr>
                <w:rFonts w:asciiTheme="minorEastAsia" w:hAnsiTheme="minorEastAsia" w:eastAsiaTheme="minorEastAsia" w:cstheme="minorEastAsia"/>
                <w:color w:val="auto"/>
                <w:sz w:val="18"/>
                <w:szCs w:val="18"/>
                <w:lang w:eastAsia="zh-CN"/>
              </w:rPr>
            </w:pPr>
            <w:r>
              <w:rPr>
                <w:rFonts w:hint="eastAsia" w:ascii="Times New Roman" w:hAnsi="Times New Roman" w:eastAsia="宋体" w:cs="Times New Roman"/>
                <w:color w:val="auto"/>
                <w:sz w:val="18"/>
                <w:szCs w:val="18"/>
                <w:lang w:eastAsia="zh-CN"/>
              </w:rPr>
              <w:t>项目选址于芝沙线魏家村卫生院旁，规划新建一层钢结构厂房，建筑面积约1000平方米，核心用于大米包装作业。将配置全套专业设备：安科色选机2台、全自动包装机组1台、二次套袋机1台、叠包机1台、输送设备1套、码垛设备1套，另设大米成品仓5个，保障包装全流程高效运转。项目建成后将以对外出租模式运营，预计每年可为村集体稳定增加租金收入20万元，助力村集体经济增收提质。</w:t>
            </w:r>
          </w:p>
        </w:tc>
        <w:tc>
          <w:tcPr>
            <w:tcW w:w="762" w:type="dxa"/>
            <w:vAlign w:val="center"/>
          </w:tcPr>
          <w:p w14:paraId="3EEF9AE3">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200</w:t>
            </w:r>
          </w:p>
        </w:tc>
        <w:tc>
          <w:tcPr>
            <w:tcW w:w="1019" w:type="dxa"/>
            <w:vAlign w:val="center"/>
          </w:tcPr>
          <w:p w14:paraId="7CB110A9">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80</w:t>
            </w:r>
          </w:p>
        </w:tc>
        <w:tc>
          <w:tcPr>
            <w:tcW w:w="794" w:type="dxa"/>
            <w:vAlign w:val="center"/>
          </w:tcPr>
          <w:p w14:paraId="1CDC45FA">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70</w:t>
            </w:r>
          </w:p>
        </w:tc>
        <w:tc>
          <w:tcPr>
            <w:tcW w:w="910" w:type="dxa"/>
            <w:vAlign w:val="center"/>
          </w:tcPr>
          <w:p w14:paraId="1B3F60DC">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c>
          <w:tcPr>
            <w:tcW w:w="656" w:type="dxa"/>
            <w:vAlign w:val="center"/>
          </w:tcPr>
          <w:p w14:paraId="33B9467E">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50</w:t>
            </w:r>
          </w:p>
        </w:tc>
        <w:tc>
          <w:tcPr>
            <w:tcW w:w="646" w:type="dxa"/>
            <w:tcBorders>
              <w:right w:val="single" w:color="000000" w:sz="4" w:space="0"/>
            </w:tcBorders>
            <w:vAlign w:val="center"/>
          </w:tcPr>
          <w:p w14:paraId="6DA92FBA">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r>
      <w:tr w14:paraId="228B8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trPr>
        <w:tc>
          <w:tcPr>
            <w:tcW w:w="755" w:type="dxa"/>
            <w:tcBorders>
              <w:left w:val="single" w:color="000000" w:sz="4" w:space="0"/>
            </w:tcBorders>
            <w:vAlign w:val="center"/>
          </w:tcPr>
          <w:p w14:paraId="674B2B2F">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2</w:t>
            </w:r>
          </w:p>
        </w:tc>
        <w:tc>
          <w:tcPr>
            <w:tcW w:w="910" w:type="dxa"/>
            <w:vAlign w:val="center"/>
          </w:tcPr>
          <w:p w14:paraId="2FC70AB4">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白马镇白龙社区</w:t>
            </w:r>
          </w:p>
        </w:tc>
        <w:tc>
          <w:tcPr>
            <w:tcW w:w="712" w:type="dxa"/>
            <w:vAlign w:val="center"/>
          </w:tcPr>
          <w:p w14:paraId="0A3790AD">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3616</w:t>
            </w:r>
          </w:p>
        </w:tc>
        <w:tc>
          <w:tcPr>
            <w:tcW w:w="1168" w:type="dxa"/>
            <w:vAlign w:val="center"/>
          </w:tcPr>
          <w:p w14:paraId="461B8B2C">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300</w:t>
            </w:r>
          </w:p>
        </w:tc>
        <w:tc>
          <w:tcPr>
            <w:tcW w:w="702" w:type="dxa"/>
            <w:vAlign w:val="center"/>
          </w:tcPr>
          <w:p w14:paraId="7BC50877">
            <w:pPr>
              <w:pStyle w:val="12"/>
              <w:jc w:val="center"/>
              <w:rPr>
                <w:rFonts w:ascii="Times New Roman" w:hAnsi="Times New Roman" w:eastAsia="宋体" w:cs="Times New Roman"/>
                <w:color w:val="auto"/>
                <w:sz w:val="18"/>
                <w:szCs w:val="18"/>
                <w:lang w:eastAsia="zh-CN"/>
              </w:rPr>
            </w:pPr>
          </w:p>
        </w:tc>
        <w:tc>
          <w:tcPr>
            <w:tcW w:w="740" w:type="dxa"/>
            <w:vAlign w:val="center"/>
          </w:tcPr>
          <w:p w14:paraId="3EACA874">
            <w:pPr>
              <w:pStyle w:val="12"/>
              <w:jc w:val="center"/>
              <w:rPr>
                <w:rFonts w:ascii="Times New Roman" w:hAnsi="Times New Roman" w:cs="Times New Roman"/>
                <w:color w:val="auto"/>
                <w:sz w:val="18"/>
                <w:szCs w:val="18"/>
              </w:rPr>
            </w:pPr>
          </w:p>
        </w:tc>
        <w:tc>
          <w:tcPr>
            <w:tcW w:w="701" w:type="dxa"/>
            <w:vAlign w:val="center"/>
          </w:tcPr>
          <w:p w14:paraId="536976CC">
            <w:pPr>
              <w:pStyle w:val="12"/>
              <w:jc w:val="center"/>
              <w:rPr>
                <w:rFonts w:ascii="Times New Roman" w:hAnsi="Times New Roman" w:cs="Times New Roman"/>
                <w:color w:val="auto"/>
                <w:sz w:val="18"/>
                <w:szCs w:val="18"/>
              </w:rPr>
            </w:pPr>
            <w:r>
              <w:rPr>
                <w:color w:val="auto"/>
                <w:sz w:val="18"/>
                <w:szCs w:val="18"/>
              </w:rPr>
              <w:t>√</w:t>
            </w:r>
          </w:p>
        </w:tc>
        <w:tc>
          <w:tcPr>
            <w:tcW w:w="678" w:type="dxa"/>
            <w:vAlign w:val="center"/>
          </w:tcPr>
          <w:p w14:paraId="7660DE17">
            <w:pPr>
              <w:pStyle w:val="12"/>
              <w:jc w:val="center"/>
              <w:rPr>
                <w:rFonts w:ascii="Times New Roman" w:hAnsi="Times New Roman" w:cs="Times New Roman"/>
                <w:color w:val="auto"/>
                <w:sz w:val="18"/>
                <w:szCs w:val="18"/>
              </w:rPr>
            </w:pPr>
          </w:p>
        </w:tc>
        <w:tc>
          <w:tcPr>
            <w:tcW w:w="688" w:type="dxa"/>
            <w:vAlign w:val="center"/>
          </w:tcPr>
          <w:p w14:paraId="7D43E54A">
            <w:pPr>
              <w:pStyle w:val="12"/>
              <w:jc w:val="center"/>
              <w:rPr>
                <w:rFonts w:ascii="Times New Roman" w:hAnsi="Times New Roman" w:cs="Times New Roman"/>
                <w:color w:val="auto"/>
                <w:sz w:val="18"/>
                <w:szCs w:val="18"/>
              </w:rPr>
            </w:pPr>
          </w:p>
        </w:tc>
        <w:tc>
          <w:tcPr>
            <w:tcW w:w="1878" w:type="dxa"/>
            <w:vAlign w:val="center"/>
          </w:tcPr>
          <w:p w14:paraId="2461C332">
            <w:pPr>
              <w:pStyle w:val="12"/>
              <w:rPr>
                <w:rFonts w:ascii="Times New Roman" w:hAnsi="Times New Roman" w:eastAsia="宋体" w:cs="Times New Roman"/>
                <w:color w:val="auto"/>
                <w:sz w:val="18"/>
                <w:szCs w:val="18"/>
                <w:lang w:eastAsia="zh-CN"/>
              </w:rPr>
            </w:pPr>
            <w:r>
              <w:rPr>
                <w:rFonts w:hint="eastAsia" w:asciiTheme="minorEastAsia" w:hAnsiTheme="minorEastAsia" w:eastAsiaTheme="minorEastAsia" w:cstheme="minorEastAsia"/>
                <w:color w:val="auto"/>
                <w:sz w:val="18"/>
                <w:szCs w:val="18"/>
                <w:lang w:eastAsia="zh-CN"/>
              </w:rPr>
              <w:t>白龙社区翻建张巷小学房屋，改造成为设施农业用房，计划投资200万元。服务于周边农业承包户，为其提供专业的农资、农具及农产品仓储用房，建成后能够有效解决各农户器械及农产品存放困难的问题，同时也能增加村集体收入。预计经营性收入每年增加6万元，带动白龙社区50户农户增收。</w:t>
            </w:r>
          </w:p>
        </w:tc>
        <w:tc>
          <w:tcPr>
            <w:tcW w:w="762" w:type="dxa"/>
            <w:vAlign w:val="center"/>
          </w:tcPr>
          <w:p w14:paraId="3A12814E">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200</w:t>
            </w:r>
          </w:p>
        </w:tc>
        <w:tc>
          <w:tcPr>
            <w:tcW w:w="1019" w:type="dxa"/>
            <w:vAlign w:val="center"/>
          </w:tcPr>
          <w:p w14:paraId="2D16BF62">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80</w:t>
            </w:r>
          </w:p>
        </w:tc>
        <w:tc>
          <w:tcPr>
            <w:tcW w:w="794" w:type="dxa"/>
            <w:vAlign w:val="center"/>
          </w:tcPr>
          <w:p w14:paraId="196F5E3F">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70</w:t>
            </w:r>
          </w:p>
        </w:tc>
        <w:tc>
          <w:tcPr>
            <w:tcW w:w="910" w:type="dxa"/>
            <w:vAlign w:val="center"/>
          </w:tcPr>
          <w:p w14:paraId="5E8F77D1">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c>
          <w:tcPr>
            <w:tcW w:w="656" w:type="dxa"/>
            <w:vAlign w:val="center"/>
          </w:tcPr>
          <w:p w14:paraId="576D3999">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50</w:t>
            </w:r>
          </w:p>
        </w:tc>
        <w:tc>
          <w:tcPr>
            <w:tcW w:w="646" w:type="dxa"/>
            <w:tcBorders>
              <w:right w:val="single" w:color="000000" w:sz="4" w:space="0"/>
            </w:tcBorders>
            <w:vAlign w:val="center"/>
          </w:tcPr>
          <w:p w14:paraId="646AA18A">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r>
      <w:tr w14:paraId="0F534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trPr>
        <w:tc>
          <w:tcPr>
            <w:tcW w:w="755" w:type="dxa"/>
            <w:tcBorders>
              <w:left w:val="single" w:color="000000" w:sz="4" w:space="0"/>
            </w:tcBorders>
            <w:vAlign w:val="center"/>
          </w:tcPr>
          <w:p w14:paraId="2B6ED0CE">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3</w:t>
            </w:r>
          </w:p>
        </w:tc>
        <w:tc>
          <w:tcPr>
            <w:tcW w:w="910" w:type="dxa"/>
            <w:vAlign w:val="center"/>
          </w:tcPr>
          <w:p w14:paraId="7CF0FA51">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东屏街道白鹿村</w:t>
            </w:r>
          </w:p>
        </w:tc>
        <w:tc>
          <w:tcPr>
            <w:tcW w:w="712" w:type="dxa"/>
            <w:vAlign w:val="center"/>
          </w:tcPr>
          <w:p w14:paraId="51AFA2A2">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3172</w:t>
            </w:r>
          </w:p>
        </w:tc>
        <w:tc>
          <w:tcPr>
            <w:tcW w:w="1168" w:type="dxa"/>
            <w:vAlign w:val="center"/>
          </w:tcPr>
          <w:p w14:paraId="4AA0759D">
            <w:pPr>
              <w:pStyle w:val="12"/>
              <w:jc w:val="center"/>
              <w:rPr>
                <w:rFonts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rPr>
              <w:t>216</w:t>
            </w:r>
            <w:r>
              <w:rPr>
                <w:rFonts w:hint="eastAsia" w:ascii="Times New Roman" w:hAnsi="Times New Roman" w:eastAsia="宋体" w:cs="Times New Roman"/>
                <w:color w:val="auto"/>
                <w:sz w:val="18"/>
                <w:szCs w:val="18"/>
                <w:lang w:eastAsia="zh-CN"/>
              </w:rPr>
              <w:t>.</w:t>
            </w:r>
            <w:r>
              <w:rPr>
                <w:rFonts w:hint="eastAsia" w:ascii="Times New Roman" w:hAnsi="Times New Roman" w:cs="Times New Roman"/>
                <w:color w:val="auto"/>
                <w:sz w:val="18"/>
                <w:szCs w:val="18"/>
              </w:rPr>
              <w:t>9</w:t>
            </w:r>
            <w:r>
              <w:rPr>
                <w:rFonts w:hint="eastAsia" w:ascii="Times New Roman" w:hAnsi="Times New Roman" w:eastAsia="宋体" w:cs="Times New Roman"/>
                <w:color w:val="auto"/>
                <w:sz w:val="18"/>
                <w:szCs w:val="18"/>
                <w:lang w:eastAsia="zh-CN"/>
              </w:rPr>
              <w:t>8</w:t>
            </w:r>
          </w:p>
        </w:tc>
        <w:tc>
          <w:tcPr>
            <w:tcW w:w="702" w:type="dxa"/>
            <w:vAlign w:val="center"/>
          </w:tcPr>
          <w:p w14:paraId="46691856">
            <w:pPr>
              <w:pStyle w:val="12"/>
              <w:jc w:val="center"/>
              <w:rPr>
                <w:rFonts w:ascii="Times New Roman" w:hAnsi="Times New Roman" w:eastAsia="宋体" w:cs="Times New Roman"/>
                <w:color w:val="auto"/>
                <w:sz w:val="18"/>
                <w:szCs w:val="18"/>
                <w:lang w:eastAsia="zh-CN"/>
              </w:rPr>
            </w:pPr>
            <w:r>
              <w:rPr>
                <w:rFonts w:ascii="Times New Roman" w:hAnsi="Times New Roman" w:cs="Times New Roman"/>
                <w:color w:val="auto"/>
                <w:sz w:val="18"/>
                <w:szCs w:val="18"/>
                <w:lang w:eastAsia="zh-CN"/>
              </w:rPr>
              <w:t>√</w:t>
            </w:r>
          </w:p>
        </w:tc>
        <w:tc>
          <w:tcPr>
            <w:tcW w:w="740" w:type="dxa"/>
            <w:vAlign w:val="center"/>
          </w:tcPr>
          <w:p w14:paraId="20FA99FB">
            <w:pPr>
              <w:pStyle w:val="12"/>
              <w:jc w:val="center"/>
              <w:rPr>
                <w:rFonts w:ascii="Times New Roman" w:hAnsi="Times New Roman" w:cs="Times New Roman"/>
                <w:color w:val="auto"/>
                <w:sz w:val="18"/>
                <w:szCs w:val="18"/>
              </w:rPr>
            </w:pPr>
          </w:p>
        </w:tc>
        <w:tc>
          <w:tcPr>
            <w:tcW w:w="701" w:type="dxa"/>
            <w:vAlign w:val="center"/>
          </w:tcPr>
          <w:p w14:paraId="5CC3434F">
            <w:pPr>
              <w:pStyle w:val="12"/>
              <w:jc w:val="center"/>
              <w:rPr>
                <w:rFonts w:ascii="Times New Roman" w:hAnsi="Times New Roman" w:cs="Times New Roman"/>
                <w:color w:val="auto"/>
                <w:sz w:val="18"/>
                <w:szCs w:val="18"/>
              </w:rPr>
            </w:pPr>
          </w:p>
        </w:tc>
        <w:tc>
          <w:tcPr>
            <w:tcW w:w="678" w:type="dxa"/>
            <w:vAlign w:val="center"/>
          </w:tcPr>
          <w:p w14:paraId="1CB59902">
            <w:pPr>
              <w:pStyle w:val="12"/>
              <w:jc w:val="center"/>
              <w:rPr>
                <w:rFonts w:ascii="Times New Roman" w:hAnsi="Times New Roman" w:cs="Times New Roman"/>
                <w:color w:val="auto"/>
                <w:sz w:val="18"/>
                <w:szCs w:val="18"/>
              </w:rPr>
            </w:pPr>
          </w:p>
        </w:tc>
        <w:tc>
          <w:tcPr>
            <w:tcW w:w="688" w:type="dxa"/>
            <w:vAlign w:val="center"/>
          </w:tcPr>
          <w:p w14:paraId="2B57A922">
            <w:pPr>
              <w:pStyle w:val="12"/>
              <w:jc w:val="center"/>
              <w:rPr>
                <w:rFonts w:ascii="Times New Roman" w:hAnsi="Times New Roman" w:cs="Times New Roman"/>
                <w:color w:val="auto"/>
                <w:sz w:val="18"/>
                <w:szCs w:val="18"/>
              </w:rPr>
            </w:pPr>
          </w:p>
        </w:tc>
        <w:tc>
          <w:tcPr>
            <w:tcW w:w="1878" w:type="dxa"/>
            <w:vAlign w:val="center"/>
          </w:tcPr>
          <w:p w14:paraId="44BD44A9">
            <w:pPr>
              <w:pStyle w:val="12"/>
              <w:rPr>
                <w:rFonts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rPr>
              <w:t>重建茶叶加工车间400平方米，对现有茶园进行台刈更新、配备杀青机、揉捻机、理条机、烘干机等现代化制茶设备，建设传统手工制茶体验区及打造区中专校学生实训基地。项目建成后预计每年增加</w:t>
            </w:r>
            <w:r>
              <w:rPr>
                <w:rFonts w:hint="eastAsia" w:ascii="Times New Roman" w:hAnsi="Times New Roman" w:eastAsia="宋体" w:cs="Times New Roman"/>
                <w:color w:val="auto"/>
                <w:sz w:val="18"/>
                <w:szCs w:val="18"/>
                <w:lang w:eastAsia="zh-CN"/>
              </w:rPr>
              <w:t>5</w:t>
            </w:r>
            <w:r>
              <w:rPr>
                <w:rFonts w:hint="eastAsia" w:ascii="Times New Roman" w:hAnsi="Times New Roman" w:cs="Times New Roman"/>
                <w:color w:val="auto"/>
                <w:sz w:val="18"/>
                <w:szCs w:val="18"/>
              </w:rPr>
              <w:t>0万元的经营性收入，有效带动周边60余名村民实现本地就业，既能实现经济效益与社会效益的有机统一，也能为乡村振兴注入务实动能，助力拓宽村民增收渠道、夯实区域发展基础。</w:t>
            </w:r>
          </w:p>
        </w:tc>
        <w:tc>
          <w:tcPr>
            <w:tcW w:w="762" w:type="dxa"/>
            <w:vAlign w:val="center"/>
          </w:tcPr>
          <w:p w14:paraId="4E7DC301">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190</w:t>
            </w:r>
          </w:p>
        </w:tc>
        <w:tc>
          <w:tcPr>
            <w:tcW w:w="1019" w:type="dxa"/>
            <w:vAlign w:val="center"/>
          </w:tcPr>
          <w:p w14:paraId="7C3F3F85">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80</w:t>
            </w:r>
          </w:p>
        </w:tc>
        <w:tc>
          <w:tcPr>
            <w:tcW w:w="794" w:type="dxa"/>
            <w:vAlign w:val="center"/>
          </w:tcPr>
          <w:p w14:paraId="3AFD811F">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64</w:t>
            </w:r>
          </w:p>
        </w:tc>
        <w:tc>
          <w:tcPr>
            <w:tcW w:w="910" w:type="dxa"/>
            <w:vAlign w:val="center"/>
          </w:tcPr>
          <w:p w14:paraId="2BE689EF">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c>
          <w:tcPr>
            <w:tcW w:w="656" w:type="dxa"/>
            <w:vAlign w:val="center"/>
          </w:tcPr>
          <w:p w14:paraId="0BF0CA5F">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46</w:t>
            </w:r>
          </w:p>
        </w:tc>
        <w:tc>
          <w:tcPr>
            <w:tcW w:w="646" w:type="dxa"/>
            <w:tcBorders>
              <w:right w:val="single" w:color="000000" w:sz="4" w:space="0"/>
            </w:tcBorders>
            <w:vAlign w:val="center"/>
          </w:tcPr>
          <w:p w14:paraId="794461EA">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r>
      <w:tr w14:paraId="72176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trPr>
        <w:tc>
          <w:tcPr>
            <w:tcW w:w="755" w:type="dxa"/>
            <w:tcBorders>
              <w:left w:val="single" w:color="000000" w:sz="4" w:space="0"/>
            </w:tcBorders>
            <w:vAlign w:val="center"/>
          </w:tcPr>
          <w:p w14:paraId="20AA924C">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4</w:t>
            </w:r>
          </w:p>
        </w:tc>
        <w:tc>
          <w:tcPr>
            <w:tcW w:w="910" w:type="dxa"/>
            <w:vAlign w:val="center"/>
          </w:tcPr>
          <w:p w14:paraId="6860E239">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洪蓝街道青锋村</w:t>
            </w:r>
          </w:p>
        </w:tc>
        <w:tc>
          <w:tcPr>
            <w:tcW w:w="712" w:type="dxa"/>
            <w:vAlign w:val="center"/>
          </w:tcPr>
          <w:p w14:paraId="14FBF2BE">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4150</w:t>
            </w:r>
          </w:p>
        </w:tc>
        <w:tc>
          <w:tcPr>
            <w:tcW w:w="1168" w:type="dxa"/>
            <w:vAlign w:val="center"/>
          </w:tcPr>
          <w:p w14:paraId="5AA58C34">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184.4</w:t>
            </w:r>
          </w:p>
        </w:tc>
        <w:tc>
          <w:tcPr>
            <w:tcW w:w="702" w:type="dxa"/>
            <w:vAlign w:val="center"/>
          </w:tcPr>
          <w:p w14:paraId="7ACF596F">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w:t>
            </w:r>
          </w:p>
        </w:tc>
        <w:tc>
          <w:tcPr>
            <w:tcW w:w="740" w:type="dxa"/>
            <w:vAlign w:val="center"/>
          </w:tcPr>
          <w:p w14:paraId="056F0090">
            <w:pPr>
              <w:pStyle w:val="12"/>
              <w:jc w:val="center"/>
              <w:rPr>
                <w:rFonts w:ascii="Times New Roman" w:hAnsi="Times New Roman" w:cs="Times New Roman"/>
                <w:color w:val="auto"/>
                <w:sz w:val="18"/>
                <w:szCs w:val="18"/>
              </w:rPr>
            </w:pPr>
          </w:p>
        </w:tc>
        <w:tc>
          <w:tcPr>
            <w:tcW w:w="701" w:type="dxa"/>
            <w:vAlign w:val="center"/>
          </w:tcPr>
          <w:p w14:paraId="7309685E">
            <w:pPr>
              <w:pStyle w:val="12"/>
              <w:jc w:val="center"/>
              <w:rPr>
                <w:rFonts w:ascii="Times New Roman" w:hAnsi="Times New Roman" w:cs="Times New Roman"/>
                <w:color w:val="auto"/>
                <w:sz w:val="18"/>
                <w:szCs w:val="18"/>
              </w:rPr>
            </w:pPr>
          </w:p>
        </w:tc>
        <w:tc>
          <w:tcPr>
            <w:tcW w:w="678" w:type="dxa"/>
            <w:vAlign w:val="center"/>
          </w:tcPr>
          <w:p w14:paraId="0DF99CA5">
            <w:pPr>
              <w:pStyle w:val="12"/>
              <w:jc w:val="center"/>
              <w:rPr>
                <w:rFonts w:ascii="Times New Roman" w:hAnsi="Times New Roman" w:cs="Times New Roman"/>
                <w:color w:val="auto"/>
                <w:sz w:val="18"/>
                <w:szCs w:val="18"/>
              </w:rPr>
            </w:pPr>
          </w:p>
        </w:tc>
        <w:tc>
          <w:tcPr>
            <w:tcW w:w="688" w:type="dxa"/>
            <w:vAlign w:val="center"/>
          </w:tcPr>
          <w:p w14:paraId="76C26D33">
            <w:pPr>
              <w:pStyle w:val="12"/>
              <w:jc w:val="center"/>
              <w:rPr>
                <w:rFonts w:ascii="Times New Roman" w:hAnsi="Times New Roman" w:cs="Times New Roman"/>
                <w:color w:val="auto"/>
                <w:sz w:val="18"/>
                <w:szCs w:val="18"/>
              </w:rPr>
            </w:pPr>
          </w:p>
        </w:tc>
        <w:tc>
          <w:tcPr>
            <w:tcW w:w="1878" w:type="dxa"/>
            <w:vAlign w:val="center"/>
          </w:tcPr>
          <w:p w14:paraId="77E004F6">
            <w:pPr>
              <w:pStyle w:val="12"/>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对约50亩闲置大棚改造提升，清表及翻耕，大棚设施维修，铺设大棚薄膜，供水系统改造，改建沟渠、田间道路等。改造提升后对外出租获取租金收益，预计村集体年租金约8万元，带动超20户本地农户就业。</w:t>
            </w:r>
          </w:p>
        </w:tc>
        <w:tc>
          <w:tcPr>
            <w:tcW w:w="762" w:type="dxa"/>
            <w:vAlign w:val="center"/>
          </w:tcPr>
          <w:p w14:paraId="4D1E8739">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210</w:t>
            </w:r>
          </w:p>
        </w:tc>
        <w:tc>
          <w:tcPr>
            <w:tcW w:w="1019" w:type="dxa"/>
            <w:vAlign w:val="center"/>
          </w:tcPr>
          <w:p w14:paraId="62442BC1">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80</w:t>
            </w:r>
          </w:p>
        </w:tc>
        <w:tc>
          <w:tcPr>
            <w:tcW w:w="794" w:type="dxa"/>
            <w:vAlign w:val="center"/>
          </w:tcPr>
          <w:p w14:paraId="6E80CC79">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76</w:t>
            </w:r>
          </w:p>
        </w:tc>
        <w:tc>
          <w:tcPr>
            <w:tcW w:w="910" w:type="dxa"/>
            <w:vAlign w:val="center"/>
          </w:tcPr>
          <w:p w14:paraId="3F7257B8">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c>
          <w:tcPr>
            <w:tcW w:w="656" w:type="dxa"/>
            <w:vAlign w:val="center"/>
          </w:tcPr>
          <w:p w14:paraId="2DC5DB27">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54</w:t>
            </w:r>
          </w:p>
        </w:tc>
        <w:tc>
          <w:tcPr>
            <w:tcW w:w="646" w:type="dxa"/>
            <w:tcBorders>
              <w:right w:val="single" w:color="000000" w:sz="4" w:space="0"/>
            </w:tcBorders>
            <w:vAlign w:val="center"/>
          </w:tcPr>
          <w:p w14:paraId="743A9E4B">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r>
      <w:tr w14:paraId="52E3A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0" w:hRule="atLeast"/>
        </w:trPr>
        <w:tc>
          <w:tcPr>
            <w:tcW w:w="755" w:type="dxa"/>
            <w:tcBorders>
              <w:left w:val="single" w:color="000000" w:sz="4" w:space="0"/>
            </w:tcBorders>
            <w:vAlign w:val="center"/>
          </w:tcPr>
          <w:p w14:paraId="03083CD1">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5</w:t>
            </w:r>
          </w:p>
        </w:tc>
        <w:tc>
          <w:tcPr>
            <w:tcW w:w="910" w:type="dxa"/>
            <w:vAlign w:val="center"/>
          </w:tcPr>
          <w:p w14:paraId="67E51745">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和凤镇孔镇社区</w:t>
            </w:r>
          </w:p>
        </w:tc>
        <w:tc>
          <w:tcPr>
            <w:tcW w:w="712" w:type="dxa"/>
            <w:vAlign w:val="center"/>
          </w:tcPr>
          <w:p w14:paraId="5E918512">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4600</w:t>
            </w:r>
          </w:p>
        </w:tc>
        <w:tc>
          <w:tcPr>
            <w:tcW w:w="1168" w:type="dxa"/>
            <w:vAlign w:val="center"/>
          </w:tcPr>
          <w:p w14:paraId="3082D247">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153.69</w:t>
            </w:r>
          </w:p>
        </w:tc>
        <w:tc>
          <w:tcPr>
            <w:tcW w:w="702" w:type="dxa"/>
            <w:vAlign w:val="center"/>
          </w:tcPr>
          <w:p w14:paraId="3469950B">
            <w:pPr>
              <w:pStyle w:val="12"/>
              <w:jc w:val="center"/>
              <w:rPr>
                <w:rFonts w:ascii="Times New Roman" w:hAnsi="Times New Roman" w:eastAsia="宋体" w:cs="Times New Roman"/>
                <w:color w:val="auto"/>
                <w:sz w:val="18"/>
                <w:szCs w:val="18"/>
                <w:lang w:eastAsia="zh-CN"/>
              </w:rPr>
            </w:pPr>
          </w:p>
        </w:tc>
        <w:tc>
          <w:tcPr>
            <w:tcW w:w="740" w:type="dxa"/>
            <w:vAlign w:val="center"/>
          </w:tcPr>
          <w:p w14:paraId="3EA67040">
            <w:pPr>
              <w:pStyle w:val="12"/>
              <w:jc w:val="center"/>
              <w:rPr>
                <w:rFonts w:ascii="Times New Roman" w:hAnsi="Times New Roman" w:cs="Times New Roman"/>
                <w:color w:val="auto"/>
                <w:sz w:val="18"/>
                <w:szCs w:val="18"/>
              </w:rPr>
            </w:pPr>
            <w:r>
              <w:rPr>
                <w:rFonts w:hint="eastAsia" w:ascii="Times New Roman" w:hAnsi="Times New Roman" w:eastAsia="宋体" w:cs="Times New Roman"/>
                <w:color w:val="auto"/>
                <w:sz w:val="18"/>
                <w:szCs w:val="18"/>
                <w:lang w:eastAsia="zh-CN"/>
              </w:rPr>
              <w:t>√</w:t>
            </w:r>
          </w:p>
        </w:tc>
        <w:tc>
          <w:tcPr>
            <w:tcW w:w="701" w:type="dxa"/>
            <w:vAlign w:val="center"/>
          </w:tcPr>
          <w:p w14:paraId="5D522BBC">
            <w:pPr>
              <w:pStyle w:val="12"/>
              <w:jc w:val="center"/>
              <w:rPr>
                <w:rFonts w:ascii="Times New Roman" w:hAnsi="Times New Roman" w:cs="Times New Roman"/>
                <w:color w:val="auto"/>
                <w:sz w:val="18"/>
                <w:szCs w:val="18"/>
              </w:rPr>
            </w:pPr>
          </w:p>
        </w:tc>
        <w:tc>
          <w:tcPr>
            <w:tcW w:w="678" w:type="dxa"/>
            <w:vAlign w:val="center"/>
          </w:tcPr>
          <w:p w14:paraId="687A1B78">
            <w:pPr>
              <w:pStyle w:val="12"/>
              <w:jc w:val="center"/>
              <w:rPr>
                <w:rFonts w:ascii="Times New Roman" w:hAnsi="Times New Roman" w:cs="Times New Roman"/>
                <w:color w:val="auto"/>
                <w:sz w:val="18"/>
                <w:szCs w:val="18"/>
              </w:rPr>
            </w:pPr>
          </w:p>
        </w:tc>
        <w:tc>
          <w:tcPr>
            <w:tcW w:w="688" w:type="dxa"/>
            <w:vAlign w:val="center"/>
          </w:tcPr>
          <w:p w14:paraId="4808411F">
            <w:pPr>
              <w:pStyle w:val="12"/>
              <w:jc w:val="center"/>
              <w:rPr>
                <w:rFonts w:ascii="Times New Roman" w:hAnsi="Times New Roman" w:cs="Times New Roman"/>
                <w:color w:val="auto"/>
                <w:sz w:val="18"/>
                <w:szCs w:val="18"/>
              </w:rPr>
            </w:pPr>
          </w:p>
        </w:tc>
        <w:tc>
          <w:tcPr>
            <w:tcW w:w="1878" w:type="dxa"/>
            <w:vAlign w:val="center"/>
          </w:tcPr>
          <w:p w14:paraId="73109202">
            <w:pPr>
              <w:pStyle w:val="12"/>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计划对位于少数民族村落内约1000平方的老旧油坊及老计划生育服务楼改造后出租给物流公司及用于电商服务。目前建筑存在墙体开裂、屋顶渗漏等问题，需全面修缮，更换破损构件，加固承重结构，更新门窗。科学划分货物存储、分拣作业等区域，规划装卸货通道与停车区域，优化物流动线，提升场地利用率。提升设施基础，铺设耐磨防滑地面，安装通风、照明、消防设施，保障仓储安全。接入水电管网，增设监控安防系统，完善配套设施。预留网络布线通道，增设电源插座，满足用电及网络需求。划分办公与仓储区域，优化空间布局，适配电商流程。修整排水系统，避免雨水淤积。硬化周边路面，提升通行能力。搭建装卸平台与传送辅助设施，降低成本，适配现代物流需求。项目改建完成后，可出租给物流公司作为电商服务站点，从而获得长期稳定的租金收益，预计年租金收入为15万元。此外，此举还将有效带动周边少数民族农民的就业，促进其收入增长。</w:t>
            </w:r>
          </w:p>
        </w:tc>
        <w:tc>
          <w:tcPr>
            <w:tcW w:w="762" w:type="dxa"/>
            <w:vAlign w:val="center"/>
          </w:tcPr>
          <w:p w14:paraId="319533E5">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200</w:t>
            </w:r>
          </w:p>
        </w:tc>
        <w:tc>
          <w:tcPr>
            <w:tcW w:w="1019" w:type="dxa"/>
            <w:vAlign w:val="center"/>
          </w:tcPr>
          <w:p w14:paraId="43D9C46D">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80</w:t>
            </w:r>
          </w:p>
        </w:tc>
        <w:tc>
          <w:tcPr>
            <w:tcW w:w="794" w:type="dxa"/>
            <w:vAlign w:val="center"/>
          </w:tcPr>
          <w:p w14:paraId="6B3BFDF3">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70</w:t>
            </w:r>
          </w:p>
        </w:tc>
        <w:tc>
          <w:tcPr>
            <w:tcW w:w="910" w:type="dxa"/>
            <w:vAlign w:val="center"/>
          </w:tcPr>
          <w:p w14:paraId="6BF55078">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c>
          <w:tcPr>
            <w:tcW w:w="656" w:type="dxa"/>
            <w:vAlign w:val="center"/>
          </w:tcPr>
          <w:p w14:paraId="22FA4303">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50</w:t>
            </w:r>
          </w:p>
        </w:tc>
        <w:tc>
          <w:tcPr>
            <w:tcW w:w="646" w:type="dxa"/>
            <w:tcBorders>
              <w:right w:val="single" w:color="000000" w:sz="4" w:space="0"/>
            </w:tcBorders>
            <w:vAlign w:val="center"/>
          </w:tcPr>
          <w:p w14:paraId="39B5E215">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r>
      <w:tr w14:paraId="7ECD6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trPr>
        <w:tc>
          <w:tcPr>
            <w:tcW w:w="755" w:type="dxa"/>
            <w:tcBorders>
              <w:left w:val="single" w:color="000000" w:sz="4" w:space="0"/>
            </w:tcBorders>
            <w:vAlign w:val="center"/>
          </w:tcPr>
          <w:p w14:paraId="6838631B">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6</w:t>
            </w:r>
          </w:p>
        </w:tc>
        <w:tc>
          <w:tcPr>
            <w:tcW w:w="910" w:type="dxa"/>
            <w:vAlign w:val="center"/>
          </w:tcPr>
          <w:p w14:paraId="383D5D7F">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石湫街道向阳村</w:t>
            </w:r>
          </w:p>
        </w:tc>
        <w:tc>
          <w:tcPr>
            <w:tcW w:w="712" w:type="dxa"/>
            <w:vAlign w:val="center"/>
          </w:tcPr>
          <w:p w14:paraId="019C77B2">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2654</w:t>
            </w:r>
          </w:p>
        </w:tc>
        <w:tc>
          <w:tcPr>
            <w:tcW w:w="1168" w:type="dxa"/>
            <w:vAlign w:val="center"/>
          </w:tcPr>
          <w:p w14:paraId="320A5EA7">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447.81</w:t>
            </w:r>
          </w:p>
        </w:tc>
        <w:tc>
          <w:tcPr>
            <w:tcW w:w="702" w:type="dxa"/>
            <w:vAlign w:val="center"/>
          </w:tcPr>
          <w:p w14:paraId="1A95D6D7">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w:t>
            </w:r>
          </w:p>
        </w:tc>
        <w:tc>
          <w:tcPr>
            <w:tcW w:w="740" w:type="dxa"/>
            <w:vAlign w:val="center"/>
          </w:tcPr>
          <w:p w14:paraId="4D0010BD">
            <w:pPr>
              <w:pStyle w:val="12"/>
              <w:jc w:val="center"/>
              <w:rPr>
                <w:rFonts w:ascii="Times New Roman" w:hAnsi="Times New Roman" w:eastAsia="宋体" w:cs="Times New Roman"/>
                <w:color w:val="auto"/>
                <w:sz w:val="18"/>
                <w:szCs w:val="18"/>
                <w:lang w:eastAsia="zh-CN"/>
              </w:rPr>
            </w:pPr>
          </w:p>
        </w:tc>
        <w:tc>
          <w:tcPr>
            <w:tcW w:w="701" w:type="dxa"/>
            <w:vAlign w:val="center"/>
          </w:tcPr>
          <w:p w14:paraId="66074C77">
            <w:pPr>
              <w:pStyle w:val="12"/>
              <w:jc w:val="center"/>
              <w:rPr>
                <w:rFonts w:ascii="Times New Roman" w:hAnsi="Times New Roman" w:eastAsia="宋体" w:cs="Times New Roman"/>
                <w:color w:val="auto"/>
                <w:sz w:val="18"/>
                <w:szCs w:val="18"/>
                <w:lang w:eastAsia="zh-CN"/>
              </w:rPr>
            </w:pPr>
          </w:p>
        </w:tc>
        <w:tc>
          <w:tcPr>
            <w:tcW w:w="678" w:type="dxa"/>
            <w:vAlign w:val="center"/>
          </w:tcPr>
          <w:p w14:paraId="4F8A173E">
            <w:pPr>
              <w:pStyle w:val="12"/>
              <w:jc w:val="center"/>
              <w:rPr>
                <w:rFonts w:ascii="Times New Roman" w:hAnsi="Times New Roman" w:eastAsia="宋体" w:cs="Times New Roman"/>
                <w:color w:val="auto"/>
                <w:sz w:val="18"/>
                <w:szCs w:val="18"/>
                <w:lang w:eastAsia="zh-CN"/>
              </w:rPr>
            </w:pPr>
          </w:p>
        </w:tc>
        <w:tc>
          <w:tcPr>
            <w:tcW w:w="688" w:type="dxa"/>
            <w:vAlign w:val="center"/>
          </w:tcPr>
          <w:p w14:paraId="4B048EFA">
            <w:pPr>
              <w:pStyle w:val="12"/>
              <w:jc w:val="center"/>
              <w:rPr>
                <w:rFonts w:ascii="Times New Roman" w:hAnsi="Times New Roman" w:eastAsia="宋体" w:cs="Times New Roman"/>
                <w:color w:val="auto"/>
                <w:sz w:val="18"/>
                <w:szCs w:val="18"/>
                <w:lang w:eastAsia="zh-CN"/>
              </w:rPr>
            </w:pPr>
          </w:p>
        </w:tc>
        <w:tc>
          <w:tcPr>
            <w:tcW w:w="1878" w:type="dxa"/>
            <w:vAlign w:val="center"/>
          </w:tcPr>
          <w:p w14:paraId="4C5CB00A">
            <w:pPr>
              <w:pStyle w:val="12"/>
              <w:rPr>
                <w:rFonts w:ascii="Times New Roman" w:hAnsi="Times New Roman" w:eastAsia="宋体" w:cs="Times New Roman"/>
                <w:color w:val="auto"/>
                <w:sz w:val="18"/>
                <w:szCs w:val="18"/>
                <w:lang w:eastAsia="zh-CN"/>
              </w:rPr>
            </w:pPr>
            <w:r>
              <w:rPr>
                <w:rFonts w:hint="eastAsia" w:ascii="Times New Roman" w:hAnsi="Times New Roman" w:cs="Times New Roman"/>
                <w:color w:val="auto"/>
                <w:sz w:val="18"/>
                <w:szCs w:val="18"/>
              </w:rPr>
              <w:t>1.采购稻麦油综合性烘干设备3台组，30T/台。 （150万元）   2.潮粮罩棚改造升级，新增护墙钢柱钢板、地笼通风设备、院内雨水内接排口。（60万元）项目建成后预计为村集体带来10万元/年收入，预计提供新的就业岗位3个，该项目建成后烘干设备可增加烘干能力（增加约90T/日），潮粮罩棚改造可有效改善潮粮堆储问题，保障后续优质大米加工。</w:t>
            </w:r>
          </w:p>
        </w:tc>
        <w:tc>
          <w:tcPr>
            <w:tcW w:w="762" w:type="dxa"/>
            <w:vAlign w:val="center"/>
          </w:tcPr>
          <w:p w14:paraId="30A6359E">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210</w:t>
            </w:r>
          </w:p>
        </w:tc>
        <w:tc>
          <w:tcPr>
            <w:tcW w:w="1019" w:type="dxa"/>
            <w:vAlign w:val="center"/>
          </w:tcPr>
          <w:p w14:paraId="2D31E241">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80</w:t>
            </w:r>
          </w:p>
        </w:tc>
        <w:tc>
          <w:tcPr>
            <w:tcW w:w="794" w:type="dxa"/>
            <w:vAlign w:val="center"/>
          </w:tcPr>
          <w:p w14:paraId="69FEA02D">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76</w:t>
            </w:r>
          </w:p>
        </w:tc>
        <w:tc>
          <w:tcPr>
            <w:tcW w:w="910" w:type="dxa"/>
            <w:vAlign w:val="center"/>
          </w:tcPr>
          <w:p w14:paraId="73EDA1EB">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c>
          <w:tcPr>
            <w:tcW w:w="656" w:type="dxa"/>
            <w:vAlign w:val="center"/>
          </w:tcPr>
          <w:p w14:paraId="4A0BBBF6">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54</w:t>
            </w:r>
          </w:p>
        </w:tc>
        <w:tc>
          <w:tcPr>
            <w:tcW w:w="646" w:type="dxa"/>
            <w:tcBorders>
              <w:right w:val="single" w:color="000000" w:sz="4" w:space="0"/>
            </w:tcBorders>
            <w:vAlign w:val="center"/>
          </w:tcPr>
          <w:p w14:paraId="36039CCB">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r>
      <w:tr w14:paraId="5A6CA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trPr>
        <w:tc>
          <w:tcPr>
            <w:tcW w:w="755" w:type="dxa"/>
            <w:tcBorders>
              <w:left w:val="single" w:color="000000" w:sz="4" w:space="0"/>
            </w:tcBorders>
            <w:vAlign w:val="center"/>
          </w:tcPr>
          <w:p w14:paraId="1E44C157">
            <w:pPr>
              <w:pStyle w:val="12"/>
              <w:jc w:val="center"/>
              <w:rPr>
                <w:rFonts w:ascii="宋体" w:hAnsi="宋体" w:eastAsia="宋体" w:cs="宋体"/>
                <w:color w:val="auto"/>
                <w:sz w:val="22"/>
                <w:szCs w:val="22"/>
                <w:lang w:eastAsia="zh-CN"/>
              </w:rPr>
            </w:pPr>
            <w:r>
              <w:rPr>
                <w:rFonts w:hint="eastAsia" w:ascii="Times New Roman" w:hAnsi="Times New Roman" w:eastAsia="宋体" w:cs="Times New Roman"/>
                <w:color w:val="auto"/>
                <w:sz w:val="18"/>
                <w:szCs w:val="18"/>
                <w:lang w:eastAsia="zh-CN"/>
              </w:rPr>
              <w:t>7</w:t>
            </w:r>
          </w:p>
        </w:tc>
        <w:tc>
          <w:tcPr>
            <w:tcW w:w="910" w:type="dxa"/>
            <w:vAlign w:val="center"/>
          </w:tcPr>
          <w:p w14:paraId="481BD90F">
            <w:pPr>
              <w:pStyle w:val="12"/>
              <w:jc w:val="center"/>
              <w:rPr>
                <w:rFonts w:ascii="宋体" w:hAnsi="宋体" w:eastAsia="宋体" w:cs="宋体"/>
                <w:color w:val="auto"/>
                <w:sz w:val="22"/>
                <w:szCs w:val="22"/>
                <w:lang w:eastAsia="zh-CN"/>
              </w:rPr>
            </w:pPr>
            <w:r>
              <w:rPr>
                <w:rFonts w:hint="eastAsia" w:ascii="Times New Roman" w:hAnsi="Times New Roman" w:eastAsia="宋体" w:cs="Times New Roman"/>
                <w:color w:val="auto"/>
                <w:sz w:val="18"/>
                <w:szCs w:val="18"/>
                <w:lang w:eastAsia="zh-CN"/>
              </w:rPr>
              <w:t>晶桥镇邰村</w:t>
            </w:r>
          </w:p>
        </w:tc>
        <w:tc>
          <w:tcPr>
            <w:tcW w:w="712" w:type="dxa"/>
            <w:vAlign w:val="center"/>
          </w:tcPr>
          <w:p w14:paraId="3725C06F">
            <w:pPr>
              <w:pStyle w:val="12"/>
              <w:jc w:val="center"/>
              <w:rPr>
                <w:rFonts w:ascii="宋体" w:hAnsi="宋体" w:eastAsia="宋体" w:cs="宋体"/>
                <w:color w:val="auto"/>
                <w:sz w:val="22"/>
                <w:szCs w:val="22"/>
                <w:lang w:eastAsia="zh-CN"/>
              </w:rPr>
            </w:pPr>
            <w:r>
              <w:rPr>
                <w:rFonts w:hint="eastAsia" w:ascii="Times New Roman" w:hAnsi="Times New Roman" w:eastAsia="宋体" w:cs="Times New Roman"/>
                <w:color w:val="auto"/>
                <w:sz w:val="18"/>
                <w:szCs w:val="18"/>
                <w:lang w:eastAsia="zh-CN"/>
              </w:rPr>
              <w:t>3368</w:t>
            </w:r>
          </w:p>
        </w:tc>
        <w:tc>
          <w:tcPr>
            <w:tcW w:w="1168" w:type="dxa"/>
            <w:vAlign w:val="center"/>
          </w:tcPr>
          <w:p w14:paraId="1A3D4FA5">
            <w:pPr>
              <w:pStyle w:val="12"/>
              <w:jc w:val="center"/>
              <w:rPr>
                <w:rFonts w:ascii="宋体" w:hAnsi="宋体" w:eastAsia="宋体" w:cs="宋体"/>
                <w:color w:val="auto"/>
                <w:sz w:val="22"/>
                <w:szCs w:val="22"/>
                <w:lang w:eastAsia="zh-CN"/>
              </w:rPr>
            </w:pPr>
            <w:r>
              <w:rPr>
                <w:rFonts w:hint="eastAsia" w:ascii="Times New Roman" w:hAnsi="Times New Roman" w:eastAsia="宋体" w:cs="Times New Roman"/>
                <w:color w:val="auto"/>
                <w:sz w:val="18"/>
                <w:szCs w:val="18"/>
                <w:lang w:eastAsia="zh-CN"/>
              </w:rPr>
              <w:t>231.4</w:t>
            </w:r>
          </w:p>
        </w:tc>
        <w:tc>
          <w:tcPr>
            <w:tcW w:w="702" w:type="dxa"/>
            <w:vAlign w:val="center"/>
          </w:tcPr>
          <w:p w14:paraId="65CFFBD6">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w:t>
            </w:r>
          </w:p>
        </w:tc>
        <w:tc>
          <w:tcPr>
            <w:tcW w:w="740" w:type="dxa"/>
            <w:vAlign w:val="center"/>
          </w:tcPr>
          <w:p w14:paraId="3959B09C">
            <w:pPr>
              <w:pStyle w:val="12"/>
              <w:jc w:val="center"/>
              <w:rPr>
                <w:rFonts w:ascii="宋体" w:hAnsi="宋体" w:eastAsia="宋体" w:cs="宋体"/>
                <w:color w:val="auto"/>
                <w:sz w:val="22"/>
                <w:szCs w:val="22"/>
                <w:lang w:eastAsia="zh-CN"/>
              </w:rPr>
            </w:pPr>
          </w:p>
        </w:tc>
        <w:tc>
          <w:tcPr>
            <w:tcW w:w="701" w:type="dxa"/>
            <w:vAlign w:val="center"/>
          </w:tcPr>
          <w:p w14:paraId="5B8DB8BA">
            <w:pPr>
              <w:pStyle w:val="12"/>
              <w:jc w:val="center"/>
              <w:rPr>
                <w:rFonts w:ascii="Times New Roman" w:hAnsi="Times New Roman" w:cs="Times New Roman"/>
                <w:color w:val="auto"/>
                <w:sz w:val="18"/>
                <w:szCs w:val="18"/>
              </w:rPr>
            </w:pPr>
          </w:p>
        </w:tc>
        <w:tc>
          <w:tcPr>
            <w:tcW w:w="678" w:type="dxa"/>
            <w:vAlign w:val="center"/>
          </w:tcPr>
          <w:p w14:paraId="4B23D890">
            <w:pPr>
              <w:pStyle w:val="12"/>
              <w:jc w:val="center"/>
              <w:rPr>
                <w:rFonts w:ascii="Times New Roman" w:hAnsi="Times New Roman" w:cs="Times New Roman"/>
                <w:color w:val="auto"/>
                <w:sz w:val="18"/>
                <w:szCs w:val="18"/>
              </w:rPr>
            </w:pPr>
          </w:p>
        </w:tc>
        <w:tc>
          <w:tcPr>
            <w:tcW w:w="688" w:type="dxa"/>
            <w:vAlign w:val="center"/>
          </w:tcPr>
          <w:p w14:paraId="6E3CDC85">
            <w:pPr>
              <w:pStyle w:val="12"/>
              <w:jc w:val="center"/>
              <w:rPr>
                <w:rFonts w:ascii="Times New Roman" w:hAnsi="Times New Roman" w:cs="Times New Roman"/>
                <w:color w:val="auto"/>
                <w:sz w:val="18"/>
                <w:szCs w:val="18"/>
              </w:rPr>
            </w:pPr>
          </w:p>
        </w:tc>
        <w:tc>
          <w:tcPr>
            <w:tcW w:w="1878" w:type="dxa"/>
            <w:vAlign w:val="center"/>
          </w:tcPr>
          <w:p w14:paraId="0AD9CB42">
            <w:pPr>
              <w:pStyle w:val="12"/>
              <w:rPr>
                <w:rFonts w:ascii="Times New Roman" w:hAnsi="Times New Roman" w:cs="Times New Roman"/>
                <w:color w:val="auto"/>
                <w:sz w:val="18"/>
                <w:szCs w:val="18"/>
                <w:lang w:eastAsia="zh-CN"/>
              </w:rPr>
            </w:pPr>
            <w:r>
              <w:rPr>
                <w:rFonts w:hint="eastAsia" w:ascii="Times New Roman" w:hAnsi="Times New Roman" w:cs="Times New Roman"/>
                <w:color w:val="auto"/>
                <w:sz w:val="18"/>
                <w:szCs w:val="18"/>
              </w:rPr>
              <w:t>新建1450平方米钢筋混凝土结构厂房，包括主体建设、地面、墙面、屋顶、给排水等</w:t>
            </w:r>
            <w:r>
              <w:rPr>
                <w:rFonts w:hint="eastAsia" w:ascii="Times New Roman" w:hAnsi="Times New Roman" w:eastAsia="宋体" w:cs="Times New Roman"/>
                <w:color w:val="auto"/>
                <w:sz w:val="18"/>
                <w:szCs w:val="18"/>
                <w:lang w:eastAsia="zh-CN"/>
              </w:rPr>
              <w:t>，建成后用于本地蔬菜加工，预计每年增加10万元经营性收入，为本地村民提供更多就业岗位，帮助村民增收。</w:t>
            </w:r>
          </w:p>
        </w:tc>
        <w:tc>
          <w:tcPr>
            <w:tcW w:w="762" w:type="dxa"/>
            <w:vAlign w:val="center"/>
          </w:tcPr>
          <w:p w14:paraId="0B94D79D">
            <w:pPr>
              <w:pStyle w:val="12"/>
              <w:jc w:val="center"/>
              <w:rPr>
                <w:rFonts w:ascii="宋体" w:hAnsi="宋体" w:eastAsia="宋体" w:cs="宋体"/>
                <w:color w:val="auto"/>
                <w:sz w:val="22"/>
                <w:szCs w:val="22"/>
                <w:lang w:eastAsia="zh-CN"/>
              </w:rPr>
            </w:pPr>
            <w:r>
              <w:rPr>
                <w:rFonts w:hint="eastAsia" w:ascii="Times New Roman" w:hAnsi="Times New Roman" w:eastAsia="宋体" w:cs="Times New Roman"/>
                <w:color w:val="auto"/>
                <w:sz w:val="18"/>
                <w:szCs w:val="18"/>
                <w:lang w:eastAsia="zh-CN"/>
              </w:rPr>
              <w:t>280</w:t>
            </w:r>
          </w:p>
        </w:tc>
        <w:tc>
          <w:tcPr>
            <w:tcW w:w="1019" w:type="dxa"/>
            <w:vAlign w:val="center"/>
          </w:tcPr>
          <w:p w14:paraId="7A5C7CCB">
            <w:pPr>
              <w:pStyle w:val="12"/>
              <w:jc w:val="center"/>
              <w:rPr>
                <w:rFonts w:ascii="宋体" w:hAnsi="宋体" w:eastAsia="宋体" w:cs="宋体"/>
                <w:color w:val="auto"/>
                <w:sz w:val="22"/>
                <w:szCs w:val="22"/>
                <w:lang w:eastAsia="zh-CN"/>
              </w:rPr>
            </w:pPr>
            <w:r>
              <w:rPr>
                <w:rFonts w:hint="eastAsia" w:ascii="Times New Roman" w:hAnsi="Times New Roman" w:eastAsia="宋体" w:cs="Times New Roman"/>
                <w:color w:val="auto"/>
                <w:sz w:val="18"/>
                <w:szCs w:val="18"/>
                <w:lang w:eastAsia="zh-CN"/>
              </w:rPr>
              <w:t>80</w:t>
            </w:r>
          </w:p>
        </w:tc>
        <w:tc>
          <w:tcPr>
            <w:tcW w:w="794" w:type="dxa"/>
            <w:vAlign w:val="center"/>
          </w:tcPr>
          <w:p w14:paraId="03EDF40D">
            <w:pPr>
              <w:pStyle w:val="12"/>
              <w:jc w:val="center"/>
              <w:rPr>
                <w:rFonts w:ascii="宋体" w:hAnsi="宋体" w:eastAsia="宋体" w:cs="宋体"/>
                <w:color w:val="auto"/>
                <w:sz w:val="22"/>
                <w:szCs w:val="22"/>
                <w:lang w:eastAsia="zh-CN"/>
              </w:rPr>
            </w:pPr>
            <w:r>
              <w:rPr>
                <w:rFonts w:hint="eastAsia" w:ascii="Times New Roman" w:hAnsi="Times New Roman" w:eastAsia="宋体" w:cs="Times New Roman"/>
                <w:color w:val="auto"/>
                <w:sz w:val="18"/>
                <w:szCs w:val="18"/>
                <w:lang w:eastAsia="zh-CN"/>
              </w:rPr>
              <w:t>88</w:t>
            </w:r>
          </w:p>
        </w:tc>
        <w:tc>
          <w:tcPr>
            <w:tcW w:w="910" w:type="dxa"/>
            <w:vAlign w:val="center"/>
          </w:tcPr>
          <w:p w14:paraId="7E536940">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c>
          <w:tcPr>
            <w:tcW w:w="656" w:type="dxa"/>
            <w:vAlign w:val="center"/>
          </w:tcPr>
          <w:p w14:paraId="1D1036D5">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112</w:t>
            </w:r>
          </w:p>
        </w:tc>
        <w:tc>
          <w:tcPr>
            <w:tcW w:w="646" w:type="dxa"/>
            <w:tcBorders>
              <w:right w:val="single" w:color="000000" w:sz="4" w:space="0"/>
            </w:tcBorders>
            <w:vAlign w:val="center"/>
          </w:tcPr>
          <w:p w14:paraId="110CC2BE">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r>
      <w:tr w14:paraId="54816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5" w:hRule="atLeast"/>
        </w:trPr>
        <w:tc>
          <w:tcPr>
            <w:tcW w:w="755" w:type="dxa"/>
            <w:tcBorders>
              <w:left w:val="single" w:color="000000" w:sz="4" w:space="0"/>
            </w:tcBorders>
            <w:vAlign w:val="center"/>
          </w:tcPr>
          <w:p w14:paraId="4645FB6F">
            <w:pPr>
              <w:pStyle w:val="12"/>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8</w:t>
            </w:r>
          </w:p>
        </w:tc>
        <w:tc>
          <w:tcPr>
            <w:tcW w:w="910" w:type="dxa"/>
            <w:vAlign w:val="center"/>
          </w:tcPr>
          <w:p w14:paraId="1899848E">
            <w:pPr>
              <w:pStyle w:val="12"/>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东屏街道爱廉村</w:t>
            </w:r>
          </w:p>
        </w:tc>
        <w:tc>
          <w:tcPr>
            <w:tcW w:w="712" w:type="dxa"/>
            <w:vAlign w:val="center"/>
          </w:tcPr>
          <w:p w14:paraId="03F56768">
            <w:pPr>
              <w:pStyle w:val="12"/>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4969</w:t>
            </w:r>
          </w:p>
        </w:tc>
        <w:tc>
          <w:tcPr>
            <w:tcW w:w="1168" w:type="dxa"/>
            <w:vAlign w:val="center"/>
          </w:tcPr>
          <w:p w14:paraId="6DCD6C93">
            <w:pPr>
              <w:pStyle w:val="12"/>
              <w:jc w:val="center"/>
              <w:rPr>
                <w:rFonts w:hint="eastAsia"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190.02</w:t>
            </w:r>
          </w:p>
        </w:tc>
        <w:tc>
          <w:tcPr>
            <w:tcW w:w="702" w:type="dxa"/>
            <w:vAlign w:val="center"/>
          </w:tcPr>
          <w:p w14:paraId="00D2604D">
            <w:pPr>
              <w:pStyle w:val="12"/>
              <w:jc w:val="center"/>
              <w:rPr>
                <w:rFonts w:hint="eastAsia" w:ascii="Times New Roman" w:hAnsi="Times New Roman" w:eastAsia="宋体" w:cs="Times New Roman"/>
                <w:color w:val="auto"/>
                <w:sz w:val="18"/>
                <w:szCs w:val="18"/>
                <w:lang w:eastAsia="zh-CN"/>
              </w:rPr>
            </w:pPr>
          </w:p>
        </w:tc>
        <w:tc>
          <w:tcPr>
            <w:tcW w:w="740" w:type="dxa"/>
            <w:vAlign w:val="center"/>
          </w:tcPr>
          <w:p w14:paraId="034A75AE">
            <w:pPr>
              <w:pStyle w:val="12"/>
              <w:jc w:val="center"/>
              <w:rPr>
                <w:rFonts w:ascii="宋体" w:hAnsi="宋体" w:eastAsia="宋体" w:cs="宋体"/>
                <w:color w:val="auto"/>
                <w:sz w:val="22"/>
                <w:szCs w:val="22"/>
                <w:lang w:eastAsia="zh-CN"/>
              </w:rPr>
            </w:pPr>
            <w:r>
              <w:rPr>
                <w:rFonts w:hint="eastAsia" w:ascii="Times New Roman" w:hAnsi="Times New Roman" w:eastAsia="宋体" w:cs="Times New Roman"/>
                <w:color w:val="auto"/>
                <w:sz w:val="18"/>
                <w:szCs w:val="18"/>
                <w:lang w:eastAsia="zh-CN"/>
              </w:rPr>
              <w:t>√</w:t>
            </w:r>
          </w:p>
        </w:tc>
        <w:tc>
          <w:tcPr>
            <w:tcW w:w="701" w:type="dxa"/>
            <w:vAlign w:val="center"/>
          </w:tcPr>
          <w:p w14:paraId="49C81320">
            <w:pPr>
              <w:pStyle w:val="12"/>
              <w:jc w:val="center"/>
              <w:rPr>
                <w:rFonts w:ascii="Times New Roman" w:hAnsi="Times New Roman" w:cs="Times New Roman"/>
                <w:color w:val="auto"/>
                <w:sz w:val="18"/>
                <w:szCs w:val="18"/>
              </w:rPr>
            </w:pPr>
          </w:p>
        </w:tc>
        <w:tc>
          <w:tcPr>
            <w:tcW w:w="678" w:type="dxa"/>
            <w:vAlign w:val="center"/>
          </w:tcPr>
          <w:p w14:paraId="0A8F5A52">
            <w:pPr>
              <w:pStyle w:val="12"/>
              <w:jc w:val="center"/>
              <w:rPr>
                <w:rFonts w:ascii="Times New Roman" w:hAnsi="Times New Roman" w:cs="Times New Roman"/>
                <w:color w:val="auto"/>
                <w:sz w:val="18"/>
                <w:szCs w:val="18"/>
              </w:rPr>
            </w:pPr>
          </w:p>
        </w:tc>
        <w:tc>
          <w:tcPr>
            <w:tcW w:w="688" w:type="dxa"/>
            <w:vAlign w:val="center"/>
          </w:tcPr>
          <w:p w14:paraId="6B283676">
            <w:pPr>
              <w:pStyle w:val="12"/>
              <w:jc w:val="center"/>
              <w:rPr>
                <w:rFonts w:ascii="Times New Roman" w:hAnsi="Times New Roman" w:cs="Times New Roman"/>
                <w:color w:val="auto"/>
                <w:sz w:val="18"/>
                <w:szCs w:val="18"/>
              </w:rPr>
            </w:pPr>
          </w:p>
        </w:tc>
        <w:tc>
          <w:tcPr>
            <w:tcW w:w="1878" w:type="dxa"/>
            <w:vAlign w:val="center"/>
          </w:tcPr>
          <w:p w14:paraId="3937025B">
            <w:pPr>
              <w:pStyle w:val="12"/>
              <w:rPr>
                <w:rFonts w:hint="eastAsia" w:ascii="Times New Roman" w:hAnsi="Times New Roman" w:cs="Times New Roman"/>
                <w:color w:val="auto"/>
                <w:sz w:val="18"/>
                <w:szCs w:val="18"/>
              </w:rPr>
            </w:pPr>
            <w:r>
              <w:rPr>
                <w:rFonts w:hint="eastAsia" w:asciiTheme="minorEastAsia" w:hAnsiTheme="minorEastAsia" w:eastAsiaTheme="minorEastAsia" w:cstheme="minorEastAsia"/>
                <w:color w:val="auto"/>
                <w:sz w:val="18"/>
                <w:szCs w:val="18"/>
                <w:lang w:eastAsia="zh-CN"/>
              </w:rPr>
              <w:t>主房建设</w:t>
            </w:r>
            <w:r>
              <w:rPr>
                <w:rFonts w:asciiTheme="minorEastAsia" w:hAnsiTheme="minorEastAsia" w:eastAsiaTheme="minorEastAsia" w:cstheme="minorEastAsia"/>
                <w:color w:val="auto"/>
                <w:sz w:val="18"/>
                <w:szCs w:val="18"/>
                <w:lang w:eastAsia="zh-CN"/>
              </w:rPr>
              <w:t>1000</w:t>
            </w:r>
            <w:r>
              <w:rPr>
                <w:rFonts w:hint="eastAsia" w:asciiTheme="minorEastAsia" w:hAnsiTheme="minorEastAsia" w:eastAsiaTheme="minorEastAsia" w:cstheme="minorEastAsia"/>
                <w:color w:val="auto"/>
                <w:sz w:val="18"/>
                <w:szCs w:val="18"/>
                <w:lang w:eastAsia="zh-CN"/>
              </w:rPr>
              <w:t>平方米仓储主房，建设严格按照标准化仓储要求施工，确保具备良好的防潮、防火、防虫、通风性能，满足粮食长期安全存储需求，降低存储损耗。配备建设</w:t>
            </w:r>
            <w:r>
              <w:rPr>
                <w:rFonts w:asciiTheme="minorEastAsia" w:hAnsiTheme="minorEastAsia" w:eastAsiaTheme="minorEastAsia" w:cstheme="minorEastAsia"/>
                <w:color w:val="auto"/>
                <w:sz w:val="18"/>
                <w:szCs w:val="18"/>
                <w:lang w:eastAsia="zh-CN"/>
              </w:rPr>
              <w:t>200</w:t>
            </w:r>
            <w:r>
              <w:rPr>
                <w:rFonts w:hint="eastAsia" w:asciiTheme="minorEastAsia" w:hAnsiTheme="minorEastAsia" w:eastAsiaTheme="minorEastAsia" w:cstheme="minorEastAsia"/>
                <w:color w:val="auto"/>
                <w:sz w:val="18"/>
                <w:szCs w:val="18"/>
                <w:lang w:eastAsia="zh-CN"/>
              </w:rPr>
              <w:t>平方米配套附属设施，保障仓储用房正常运营，提升使用便利性和安全性。具体包括：仓储用房周边配套道路铺设；排水系统修建；供电线路安装，保障仓储通风、照明等用电需求；消防池及消防设施配置，落实消防安全要求，防范火灾风险。预计</w:t>
            </w:r>
            <w:r>
              <w:rPr>
                <w:rFonts w:ascii="Times New Roman" w:hAnsi="Times New Roman" w:eastAsia="宋体" w:cs="Times New Roman"/>
                <w:color w:val="auto"/>
                <w:sz w:val="18"/>
                <w:szCs w:val="18"/>
                <w:lang w:eastAsia="zh-CN"/>
              </w:rPr>
              <w:t>增加经营性收入</w:t>
            </w:r>
            <w:r>
              <w:rPr>
                <w:rFonts w:hint="eastAsia" w:asciiTheme="minorEastAsia" w:hAnsiTheme="minorEastAsia" w:eastAsiaTheme="minorEastAsia" w:cstheme="minorEastAsia"/>
                <w:color w:val="auto"/>
                <w:sz w:val="18"/>
                <w:szCs w:val="18"/>
                <w:lang w:eastAsia="zh-CN"/>
              </w:rPr>
              <w:t>8万元。</w:t>
            </w:r>
          </w:p>
        </w:tc>
        <w:tc>
          <w:tcPr>
            <w:tcW w:w="762" w:type="dxa"/>
            <w:vAlign w:val="center"/>
          </w:tcPr>
          <w:p w14:paraId="4AC5C390">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190</w:t>
            </w:r>
          </w:p>
        </w:tc>
        <w:tc>
          <w:tcPr>
            <w:tcW w:w="1019" w:type="dxa"/>
            <w:vAlign w:val="center"/>
          </w:tcPr>
          <w:p w14:paraId="23DF9B0E">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50</w:t>
            </w:r>
          </w:p>
        </w:tc>
        <w:tc>
          <w:tcPr>
            <w:tcW w:w="794" w:type="dxa"/>
            <w:vAlign w:val="center"/>
          </w:tcPr>
          <w:p w14:paraId="6BAD912B">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90</w:t>
            </w:r>
          </w:p>
        </w:tc>
        <w:tc>
          <w:tcPr>
            <w:tcW w:w="910" w:type="dxa"/>
            <w:vAlign w:val="center"/>
          </w:tcPr>
          <w:p w14:paraId="677B56F1">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c>
          <w:tcPr>
            <w:tcW w:w="656" w:type="dxa"/>
            <w:vAlign w:val="center"/>
          </w:tcPr>
          <w:p w14:paraId="4675151A">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50</w:t>
            </w:r>
          </w:p>
        </w:tc>
        <w:tc>
          <w:tcPr>
            <w:tcW w:w="646" w:type="dxa"/>
            <w:tcBorders>
              <w:right w:val="single" w:color="000000" w:sz="4" w:space="0"/>
            </w:tcBorders>
            <w:vAlign w:val="center"/>
          </w:tcPr>
          <w:p w14:paraId="4377DD62">
            <w:pPr>
              <w:pStyle w:val="12"/>
              <w:jc w:val="center"/>
              <w:rPr>
                <w:rFonts w:ascii="Times New Roman" w:hAnsi="Times New Roman" w:eastAsia="宋体" w:cs="Times New Roman"/>
                <w:color w:val="auto"/>
                <w:sz w:val="18"/>
                <w:szCs w:val="18"/>
                <w:lang w:eastAsia="zh-CN"/>
              </w:rPr>
            </w:pPr>
            <w:r>
              <w:rPr>
                <w:rFonts w:hint="eastAsia" w:ascii="Times New Roman" w:hAnsi="Times New Roman" w:eastAsia="宋体" w:cs="Times New Roman"/>
                <w:color w:val="auto"/>
                <w:sz w:val="18"/>
                <w:szCs w:val="18"/>
                <w:lang w:eastAsia="zh-CN"/>
              </w:rPr>
              <w:t>0</w:t>
            </w:r>
          </w:p>
        </w:tc>
      </w:tr>
    </w:tbl>
    <w:p w14:paraId="120C98AC">
      <w:pPr>
        <w:pStyle w:val="3"/>
        <w:spacing w:before="110" w:line="327" w:lineRule="auto"/>
        <w:ind w:left="42" w:right="33"/>
        <w:jc w:val="both"/>
        <w:rPr>
          <w:rFonts w:ascii="Times New Roman" w:hAnsi="Times New Roman" w:eastAsia="仿宋_GB2312" w:cs="Times New Roman"/>
          <w:sz w:val="21"/>
          <w:szCs w:val="20"/>
          <w:lang w:eastAsia="zh-CN"/>
        </w:rPr>
      </w:pPr>
      <w:r>
        <w:rPr>
          <w:rFonts w:ascii="Times New Roman" w:hAnsi="Times New Roman" w:eastAsia="仿宋_GB2312" w:cs="Times New Roman"/>
          <w:spacing w:val="6"/>
          <w:sz w:val="21"/>
          <w:szCs w:val="20"/>
          <w:lang w:eastAsia="zh-CN"/>
        </w:rPr>
        <w:t>填报说明：1.4-8列请在相应项目类型下打“√”</w:t>
      </w:r>
      <w:r>
        <w:rPr>
          <w:rFonts w:ascii="Times New Roman" w:hAnsi="Times New Roman" w:eastAsia="仿宋_GB2312" w:cs="Times New Roman"/>
          <w:spacing w:val="-16"/>
          <w:sz w:val="21"/>
          <w:szCs w:val="20"/>
          <w:lang w:eastAsia="zh-CN"/>
        </w:rPr>
        <w:t xml:space="preserve"> </w:t>
      </w:r>
      <w:r>
        <w:rPr>
          <w:rFonts w:ascii="Times New Roman" w:hAnsi="Times New Roman" w:eastAsia="仿宋_GB2312" w:cs="Times New Roman"/>
          <w:spacing w:val="6"/>
          <w:sz w:val="21"/>
          <w:szCs w:val="20"/>
          <w:lang w:eastAsia="zh-CN"/>
        </w:rPr>
        <w:t>;</w:t>
      </w:r>
      <w:r>
        <w:rPr>
          <w:rFonts w:ascii="Times New Roman" w:hAnsi="Times New Roman" w:eastAsia="仿宋_GB2312" w:cs="Times New Roman"/>
          <w:spacing w:val="34"/>
          <w:sz w:val="21"/>
          <w:szCs w:val="20"/>
          <w:lang w:eastAsia="zh-CN"/>
        </w:rPr>
        <w:t xml:space="preserve"> </w:t>
      </w:r>
      <w:r>
        <w:rPr>
          <w:rFonts w:ascii="Times New Roman" w:hAnsi="Times New Roman" w:eastAsia="仿宋_GB2312" w:cs="Times New Roman"/>
          <w:spacing w:val="6"/>
          <w:sz w:val="21"/>
          <w:szCs w:val="20"/>
          <w:lang w:eastAsia="zh-CN"/>
        </w:rPr>
        <w:t>2.10=</w:t>
      </w:r>
      <w:r>
        <w:rPr>
          <w:rFonts w:ascii="Times New Roman" w:hAnsi="Times New Roman" w:eastAsia="仿宋_GB2312" w:cs="Times New Roman"/>
          <w:spacing w:val="-25"/>
          <w:sz w:val="21"/>
          <w:szCs w:val="20"/>
          <w:lang w:eastAsia="zh-CN"/>
        </w:rPr>
        <w:t xml:space="preserve"> </w:t>
      </w:r>
      <w:r>
        <w:rPr>
          <w:rFonts w:ascii="Times New Roman" w:hAnsi="Times New Roman" w:eastAsia="仿宋_GB2312" w:cs="Times New Roman"/>
          <w:spacing w:val="6"/>
          <w:sz w:val="21"/>
          <w:szCs w:val="20"/>
          <w:lang w:eastAsia="zh-CN"/>
        </w:rPr>
        <w:t>11+12+13+14+15；3.填写数字部分请注意单位要求；4.表格不够</w:t>
      </w:r>
      <w:r>
        <w:rPr>
          <w:rFonts w:ascii="Times New Roman" w:hAnsi="Times New Roman" w:eastAsia="仿宋_GB2312" w:cs="Times New Roman"/>
          <w:spacing w:val="5"/>
          <w:sz w:val="21"/>
          <w:szCs w:val="20"/>
          <w:lang w:eastAsia="zh-CN"/>
        </w:rPr>
        <w:t>可另附页；5.经营性收入包括经营</w:t>
      </w:r>
      <w:r>
        <w:rPr>
          <w:rFonts w:ascii="Times New Roman" w:hAnsi="Times New Roman" w:eastAsia="仿宋_GB2312" w:cs="Times New Roman"/>
          <w:sz w:val="21"/>
          <w:szCs w:val="20"/>
          <w:lang w:eastAsia="zh-CN"/>
        </w:rPr>
        <w:t xml:space="preserve"> </w:t>
      </w:r>
      <w:r>
        <w:rPr>
          <w:rFonts w:ascii="Times New Roman" w:hAnsi="Times New Roman" w:eastAsia="仿宋_GB2312" w:cs="Times New Roman"/>
          <w:spacing w:val="9"/>
          <w:sz w:val="21"/>
          <w:szCs w:val="20"/>
          <w:lang w:eastAsia="zh-CN"/>
        </w:rPr>
        <w:t>收入、发包及上交收入、投资收益和其他收入。其中经营收入指村集体进行生产、服务等经营活动取得的收入</w:t>
      </w:r>
      <w:r>
        <w:rPr>
          <w:rFonts w:ascii="Times New Roman" w:hAnsi="Times New Roman" w:eastAsia="仿宋_GB2312" w:cs="Times New Roman"/>
          <w:spacing w:val="-37"/>
          <w:sz w:val="21"/>
          <w:szCs w:val="20"/>
          <w:lang w:eastAsia="zh-CN"/>
        </w:rPr>
        <w:t xml:space="preserve"> </w:t>
      </w:r>
      <w:r>
        <w:rPr>
          <w:rFonts w:ascii="Times New Roman" w:hAnsi="Times New Roman" w:eastAsia="仿宋_GB2312" w:cs="Times New Roman"/>
          <w:spacing w:val="9"/>
          <w:sz w:val="21"/>
          <w:szCs w:val="20"/>
          <w:lang w:eastAsia="zh-CN"/>
        </w:rPr>
        <w:t>；发包及上交收入指农户和承包单位因</w:t>
      </w:r>
      <w:r>
        <w:rPr>
          <w:rFonts w:ascii="Times New Roman" w:hAnsi="Times New Roman" w:eastAsia="仿宋_GB2312" w:cs="Times New Roman"/>
          <w:spacing w:val="10"/>
          <w:sz w:val="21"/>
          <w:szCs w:val="20"/>
          <w:lang w:eastAsia="zh-CN"/>
        </w:rPr>
        <w:t>承包集体耕地、水面等集体资源上交的承包金及村（组）办企业上交的利润；投资收益指村集体对外投资取得的收益或</w:t>
      </w:r>
      <w:r>
        <w:rPr>
          <w:rFonts w:ascii="Times New Roman" w:hAnsi="Times New Roman" w:eastAsia="仿宋_GB2312" w:cs="Times New Roman"/>
          <w:spacing w:val="9"/>
          <w:sz w:val="21"/>
          <w:szCs w:val="20"/>
          <w:lang w:eastAsia="zh-CN"/>
        </w:rPr>
        <w:t>发生的损失；其他收入指村集体除经营收入、发包及上交收入、投资收益、补助收入以外的收入。</w:t>
      </w:r>
      <w:bookmarkEnd w:id="0"/>
      <w:bookmarkEnd w:id="1"/>
    </w:p>
    <w:p w14:paraId="1F6CC540">
      <w:pPr>
        <w:spacing w:before="113" w:line="238" w:lineRule="auto"/>
        <w:rPr>
          <w:rFonts w:eastAsiaTheme="minorEastAsia"/>
          <w:lang w:eastAsia="zh-CN"/>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方正公文黑体">
    <w:panose1 w:val="02000500000000000000"/>
    <w:charset w:val="86"/>
    <w:family w:val="auto"/>
    <w:pitch w:val="default"/>
    <w:sig w:usb0="A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39BE9">
    <w:pPr>
      <w:spacing w:line="181" w:lineRule="auto"/>
      <w:jc w:val="center"/>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69C602">
                          <w:pPr>
                            <w:pStyle w:val="4"/>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569C602">
                    <w:pPr>
                      <w:pStyle w:val="4"/>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E3"/>
    <w:rsid w:val="000436FA"/>
    <w:rsid w:val="00056110"/>
    <w:rsid w:val="000B694B"/>
    <w:rsid w:val="001437BD"/>
    <w:rsid w:val="0014730B"/>
    <w:rsid w:val="001809ED"/>
    <w:rsid w:val="00187C8C"/>
    <w:rsid w:val="001B195B"/>
    <w:rsid w:val="001C78DF"/>
    <w:rsid w:val="00372CD5"/>
    <w:rsid w:val="00397A19"/>
    <w:rsid w:val="005476CB"/>
    <w:rsid w:val="0067252F"/>
    <w:rsid w:val="006B5CA4"/>
    <w:rsid w:val="006D2644"/>
    <w:rsid w:val="006E4E80"/>
    <w:rsid w:val="00720F08"/>
    <w:rsid w:val="00744F58"/>
    <w:rsid w:val="00745B20"/>
    <w:rsid w:val="007928C6"/>
    <w:rsid w:val="007F612F"/>
    <w:rsid w:val="00880F53"/>
    <w:rsid w:val="008A34CA"/>
    <w:rsid w:val="008B3610"/>
    <w:rsid w:val="008D6DF3"/>
    <w:rsid w:val="00902E8C"/>
    <w:rsid w:val="009031BF"/>
    <w:rsid w:val="00A13A03"/>
    <w:rsid w:val="00A336FE"/>
    <w:rsid w:val="00C10AE1"/>
    <w:rsid w:val="00C63114"/>
    <w:rsid w:val="00C97A70"/>
    <w:rsid w:val="00D10CE6"/>
    <w:rsid w:val="00D812E3"/>
    <w:rsid w:val="00D834F7"/>
    <w:rsid w:val="00E60C28"/>
    <w:rsid w:val="00E93312"/>
    <w:rsid w:val="00F1067E"/>
    <w:rsid w:val="00F2410B"/>
    <w:rsid w:val="00F558A5"/>
    <w:rsid w:val="00FA4135"/>
    <w:rsid w:val="00FB5649"/>
    <w:rsid w:val="00FF5D49"/>
    <w:rsid w:val="0A5C7BC2"/>
    <w:rsid w:val="0AF533A1"/>
    <w:rsid w:val="0B121333"/>
    <w:rsid w:val="0E663543"/>
    <w:rsid w:val="12993669"/>
    <w:rsid w:val="199E7D0E"/>
    <w:rsid w:val="241906BD"/>
    <w:rsid w:val="27353652"/>
    <w:rsid w:val="2FE853E7"/>
    <w:rsid w:val="3FB90C65"/>
    <w:rsid w:val="568D446F"/>
    <w:rsid w:val="5AAE0E58"/>
    <w:rsid w:val="5D7874FB"/>
    <w:rsid w:val="625A22AD"/>
    <w:rsid w:val="6CB71DEE"/>
    <w:rsid w:val="6FDE58E3"/>
    <w:rsid w:val="7A593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9"/>
    <w:qFormat/>
    <w:uiPriority w:val="10"/>
    <w:pPr>
      <w:spacing w:before="240" w:after="60"/>
      <w:jc w:val="center"/>
      <w:outlineLvl w:val="0"/>
    </w:pPr>
    <w:rPr>
      <w:rFonts w:eastAsia="宋体" w:asciiTheme="majorHAnsi" w:hAnsiTheme="majorHAnsi" w:cstheme="majorBidi"/>
      <w:b/>
      <w:bCs/>
      <w:sz w:val="32"/>
      <w:szCs w:val="32"/>
    </w:rPr>
  </w:style>
  <w:style w:type="paragraph" w:styleId="3">
    <w:name w:val="Body Text"/>
    <w:basedOn w:val="1"/>
    <w:link w:val="10"/>
    <w:semiHidden/>
    <w:qFormat/>
    <w:uiPriority w:val="0"/>
    <w:rPr>
      <w:rFonts w:ascii="方正仿宋_GBK" w:hAnsi="方正仿宋_GBK" w:eastAsia="方正仿宋_GBK" w:cs="方正仿宋_GBK"/>
      <w:sz w:val="31"/>
      <w:szCs w:val="31"/>
    </w:rPr>
  </w:style>
  <w:style w:type="paragraph" w:styleId="4">
    <w:name w:val="footer"/>
    <w:basedOn w:val="1"/>
    <w:link w:val="14"/>
    <w:unhideWhenUsed/>
    <w:qFormat/>
    <w:uiPriority w:val="99"/>
    <w:pPr>
      <w:tabs>
        <w:tab w:val="center" w:pos="4153"/>
        <w:tab w:val="right" w:pos="8306"/>
      </w:tabs>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character" w:customStyle="1" w:styleId="9">
    <w:name w:val="标题 Char"/>
    <w:basedOn w:val="8"/>
    <w:link w:val="2"/>
    <w:qFormat/>
    <w:uiPriority w:val="10"/>
    <w:rPr>
      <w:rFonts w:eastAsia="宋体" w:asciiTheme="majorHAnsi" w:hAnsiTheme="majorHAnsi" w:cstheme="majorBidi"/>
      <w:b/>
      <w:bCs/>
      <w:snapToGrid w:val="0"/>
      <w:color w:val="000000"/>
      <w:kern w:val="0"/>
      <w:sz w:val="32"/>
      <w:szCs w:val="32"/>
      <w:lang w:eastAsia="en-US"/>
    </w:rPr>
  </w:style>
  <w:style w:type="character" w:customStyle="1" w:styleId="10">
    <w:name w:val="正文文本 Char"/>
    <w:basedOn w:val="8"/>
    <w:link w:val="3"/>
    <w:semiHidden/>
    <w:qFormat/>
    <w:uiPriority w:val="0"/>
    <w:rPr>
      <w:rFonts w:ascii="方正仿宋_GBK" w:hAnsi="方正仿宋_GBK" w:eastAsia="方正仿宋_GBK" w:cs="方正仿宋_GBK"/>
      <w:snapToGrid w:val="0"/>
      <w:color w:val="000000"/>
      <w:kern w:val="0"/>
      <w:sz w:val="31"/>
      <w:szCs w:val="31"/>
      <w:lang w:eastAsia="en-US"/>
    </w:rPr>
  </w:style>
  <w:style w:type="table" w:customStyle="1" w:styleId="11">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12">
    <w:name w:val="Table Text"/>
    <w:basedOn w:val="1"/>
    <w:semiHidden/>
    <w:qFormat/>
    <w:uiPriority w:val="0"/>
  </w:style>
  <w:style w:type="character" w:customStyle="1" w:styleId="13">
    <w:name w:val="页眉 Char"/>
    <w:basedOn w:val="8"/>
    <w:link w:val="5"/>
    <w:qFormat/>
    <w:uiPriority w:val="99"/>
    <w:rPr>
      <w:rFonts w:ascii="Arial" w:hAnsi="Arial" w:eastAsia="Arial" w:cs="Arial"/>
      <w:snapToGrid w:val="0"/>
      <w:color w:val="000000"/>
      <w:kern w:val="0"/>
      <w:sz w:val="18"/>
      <w:szCs w:val="18"/>
      <w:lang w:eastAsia="en-US"/>
    </w:rPr>
  </w:style>
  <w:style w:type="character" w:customStyle="1" w:styleId="14">
    <w:name w:val="页脚 Char"/>
    <w:basedOn w:val="8"/>
    <w:link w:val="4"/>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1867</Words>
  <Characters>2038</Characters>
  <Lines>16</Lines>
  <Paragraphs>4</Paragraphs>
  <TotalTime>3</TotalTime>
  <ScaleCrop>false</ScaleCrop>
  <LinksUpToDate>false</LinksUpToDate>
  <CharactersWithSpaces>2087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2026-04-27T03:18:00Z</dcterms:created>
  <dc:creator>Windows 用户</dc:creator>
  <cp:lastModifiedBy>11920896</cp:lastModifiedBy>
  <cp:lastPrinted>2025-11-20T02:40:00Z</cp:lastPrinted>
  <dcterms:modified xsi:type="dcterms:W3CDTF">2026-04-27T06:38:52Z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eyJoZGlkIjoiYjZhNjI2ODIzNmM1MmE1ODNjY2Y5OWFiNzQyMDQwMzIiLCJ1c2VySWQiOiIxNzY0ODkyIn0=</vt:lpwstr>
  </property>
  <property fmtid="{D5CDD505-2E9C-101B-9397-08002B2CF9AE}" pid="3" name="KSOProductBuildVer">
    <vt:lpwstr>2052-12.1.0.25865</vt:lpwstr>
  </property>
  <property fmtid="{D5CDD505-2E9C-101B-9397-08002B2CF9AE}" pid="4" name="ICV">
    <vt:lpwstr>C4DAA065C4104BCE95316937B8C807AA_13</vt:lpwstr>
  </property>
</Properties>
</file>