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650" w:type="dxa"/>
        <w:tblInd w:w="93" w:type="dxa"/>
        <w:tblLayout w:type="fixed"/>
        <w:tblCellMar>
          <w:top w:w="0" w:type="dxa"/>
          <w:left w:w="108" w:type="dxa"/>
          <w:bottom w:w="0" w:type="dxa"/>
          <w:right w:w="108" w:type="dxa"/>
        </w:tblCellMar>
      </w:tblPr>
      <w:tblGrid>
        <w:gridCol w:w="660"/>
        <w:gridCol w:w="1335"/>
        <w:gridCol w:w="1890"/>
        <w:gridCol w:w="1320"/>
        <w:gridCol w:w="1425"/>
        <w:gridCol w:w="1575"/>
        <w:gridCol w:w="1377"/>
        <w:gridCol w:w="1560"/>
        <w:gridCol w:w="1380"/>
        <w:gridCol w:w="1559"/>
        <w:gridCol w:w="569"/>
      </w:tblGrid>
      <w:tr>
        <w:tblPrEx>
          <w:tblCellMar>
            <w:top w:w="0" w:type="dxa"/>
            <w:left w:w="108" w:type="dxa"/>
            <w:bottom w:w="0" w:type="dxa"/>
            <w:right w:w="108" w:type="dxa"/>
          </w:tblCellMar>
        </w:tblPrEx>
        <w:trPr>
          <w:trHeight w:val="500" w:hRule="atLeast"/>
        </w:trPr>
        <w:tc>
          <w:tcPr>
            <w:tcW w:w="1995" w:type="dxa"/>
            <w:gridSpan w:val="2"/>
            <w:tcBorders>
              <w:top w:val="nil"/>
              <w:left w:val="nil"/>
              <w:bottom w:val="nil"/>
              <w:right w:val="nil"/>
            </w:tcBorders>
            <w:shd w:val="clear" w:color="auto" w:fill="auto"/>
            <w:noWrap/>
            <w:vAlign w:val="center"/>
          </w:tcPr>
          <w:p>
            <w:pPr>
              <w:widowControl/>
              <w:jc w:val="left"/>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附件</w:t>
            </w:r>
            <w:r>
              <w:rPr>
                <w:rFonts w:ascii="Times New Roman" w:hAnsi="Times New Roman" w:eastAsia="方正黑体_GBK" w:cs="Times New Roman"/>
                <w:color w:val="000000"/>
                <w:kern w:val="0"/>
                <w:sz w:val="28"/>
                <w:szCs w:val="28"/>
              </w:rPr>
              <w:t>1</w:t>
            </w:r>
          </w:p>
        </w:tc>
        <w:tc>
          <w:tcPr>
            <w:tcW w:w="189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4"/>
                <w:szCs w:val="24"/>
              </w:rPr>
            </w:pPr>
          </w:p>
        </w:tc>
        <w:tc>
          <w:tcPr>
            <w:tcW w:w="132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4"/>
                <w:szCs w:val="24"/>
              </w:rPr>
            </w:pPr>
          </w:p>
        </w:tc>
        <w:tc>
          <w:tcPr>
            <w:tcW w:w="1425"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4"/>
                <w:szCs w:val="24"/>
              </w:rPr>
            </w:pPr>
          </w:p>
        </w:tc>
        <w:tc>
          <w:tcPr>
            <w:tcW w:w="1575"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4"/>
                <w:szCs w:val="24"/>
              </w:rPr>
            </w:pPr>
          </w:p>
        </w:tc>
        <w:tc>
          <w:tcPr>
            <w:tcW w:w="1377"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4"/>
                <w:szCs w:val="24"/>
              </w:rPr>
            </w:pPr>
          </w:p>
        </w:tc>
        <w:tc>
          <w:tcPr>
            <w:tcW w:w="156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4"/>
                <w:szCs w:val="24"/>
              </w:rPr>
            </w:pPr>
          </w:p>
        </w:tc>
        <w:tc>
          <w:tcPr>
            <w:tcW w:w="1380"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4"/>
                <w:szCs w:val="24"/>
              </w:rPr>
            </w:pPr>
          </w:p>
        </w:tc>
        <w:tc>
          <w:tcPr>
            <w:tcW w:w="1559" w:type="dxa"/>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p>
        </w:tc>
        <w:tc>
          <w:tcPr>
            <w:tcW w:w="569" w:type="dxa"/>
            <w:tcBorders>
              <w:top w:val="nil"/>
              <w:left w:val="nil"/>
              <w:bottom w:val="nil"/>
              <w:right w:val="nil"/>
            </w:tcBorders>
            <w:shd w:val="clear" w:color="auto" w:fill="auto"/>
            <w:noWrap/>
            <w:vAlign w:val="center"/>
          </w:tcPr>
          <w:p>
            <w:pPr>
              <w:widowControl/>
              <w:jc w:val="left"/>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720" w:hRule="atLeast"/>
        </w:trPr>
        <w:tc>
          <w:tcPr>
            <w:tcW w:w="14650" w:type="dxa"/>
            <w:gridSpan w:val="11"/>
            <w:tcBorders>
              <w:top w:val="nil"/>
              <w:left w:val="nil"/>
              <w:bottom w:val="nil"/>
              <w:right w:val="nil"/>
            </w:tcBorders>
            <w:shd w:val="clear" w:color="auto" w:fill="auto"/>
            <w:noWrap/>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南京市溧水区</w:t>
            </w:r>
            <w:r>
              <w:rPr>
                <w:rFonts w:hint="eastAsia" w:ascii="方正小标宋_GBK" w:hAnsi="宋体" w:eastAsia="方正小标宋_GBK" w:cs="宋体"/>
                <w:color w:val="000000"/>
                <w:kern w:val="0"/>
                <w:sz w:val="40"/>
                <w:szCs w:val="40"/>
                <w:lang w:eastAsia="zh-CN"/>
              </w:rPr>
              <w:t>司法</w:t>
            </w:r>
            <w:r>
              <w:rPr>
                <w:rFonts w:hint="eastAsia" w:ascii="方正小标宋_GBK" w:hAnsi="宋体" w:eastAsia="方正小标宋_GBK" w:cs="宋体"/>
                <w:color w:val="000000"/>
                <w:kern w:val="0"/>
                <w:sz w:val="40"/>
                <w:szCs w:val="40"/>
              </w:rPr>
              <w:t>局涉企收费目录清单</w:t>
            </w:r>
            <w:bookmarkStart w:id="1" w:name="_GoBack"/>
            <w:bookmarkEnd w:id="1"/>
          </w:p>
        </w:tc>
      </w:tr>
      <w:tr>
        <w:tblPrEx>
          <w:tblCellMar>
            <w:top w:w="0" w:type="dxa"/>
            <w:left w:w="108" w:type="dxa"/>
            <w:bottom w:w="0" w:type="dxa"/>
            <w:right w:w="108" w:type="dxa"/>
          </w:tblCellMar>
        </w:tblPrEx>
        <w:trPr>
          <w:trHeight w:val="980" w:hRule="atLeast"/>
        </w:trPr>
        <w:tc>
          <w:tcPr>
            <w:tcW w:w="660"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方正书宋_GBK" w:hAnsi="宋体" w:eastAsia="方正书宋_GBK" w:cs="宋体"/>
                <w:b/>
                <w:bCs/>
                <w:color w:val="000000"/>
                <w:kern w:val="0"/>
                <w:sz w:val="28"/>
                <w:szCs w:val="28"/>
              </w:rPr>
            </w:pPr>
            <w:r>
              <w:rPr>
                <w:rFonts w:hint="eastAsia" w:ascii="方正书宋_GBK" w:hAnsi="宋体" w:eastAsia="方正书宋_GBK" w:cs="宋体"/>
                <w:b/>
                <w:bCs/>
                <w:color w:val="000000"/>
                <w:kern w:val="0"/>
                <w:sz w:val="28"/>
                <w:szCs w:val="28"/>
              </w:rPr>
              <w:t>序号</w:t>
            </w:r>
          </w:p>
        </w:tc>
        <w:tc>
          <w:tcPr>
            <w:tcW w:w="133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方正书宋_GBK" w:hAnsi="宋体" w:eastAsia="方正书宋_GBK" w:cs="宋体"/>
                <w:b/>
                <w:bCs/>
                <w:color w:val="000000"/>
                <w:kern w:val="0"/>
                <w:sz w:val="28"/>
                <w:szCs w:val="28"/>
              </w:rPr>
            </w:pPr>
            <w:r>
              <w:rPr>
                <w:rFonts w:hint="eastAsia" w:ascii="方正书宋_GBK" w:hAnsi="宋体" w:eastAsia="方正书宋_GBK" w:cs="宋体"/>
                <w:b/>
                <w:bCs/>
                <w:color w:val="000000"/>
                <w:kern w:val="0"/>
                <w:sz w:val="28"/>
                <w:szCs w:val="28"/>
              </w:rPr>
              <w:t>部门名称</w:t>
            </w:r>
          </w:p>
        </w:tc>
        <w:tc>
          <w:tcPr>
            <w:tcW w:w="189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方正书宋_GBK" w:hAnsi="宋体" w:eastAsia="方正书宋_GBK" w:cs="宋体"/>
                <w:b/>
                <w:bCs/>
                <w:color w:val="000000"/>
                <w:kern w:val="0"/>
                <w:sz w:val="28"/>
                <w:szCs w:val="28"/>
              </w:rPr>
            </w:pPr>
            <w:r>
              <w:rPr>
                <w:rFonts w:hint="eastAsia" w:ascii="方正书宋_GBK" w:hAnsi="宋体" w:eastAsia="方正书宋_GBK" w:cs="宋体"/>
                <w:b/>
                <w:bCs/>
                <w:color w:val="000000"/>
                <w:kern w:val="0"/>
                <w:sz w:val="28"/>
                <w:szCs w:val="28"/>
              </w:rPr>
              <w:t>收费单位名称</w:t>
            </w:r>
          </w:p>
        </w:tc>
        <w:tc>
          <w:tcPr>
            <w:tcW w:w="132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方正书宋_GBK" w:hAnsi="宋体" w:eastAsia="方正书宋_GBK" w:cs="宋体"/>
                <w:b/>
                <w:bCs/>
                <w:color w:val="000000"/>
                <w:kern w:val="0"/>
                <w:sz w:val="28"/>
                <w:szCs w:val="28"/>
              </w:rPr>
            </w:pPr>
            <w:r>
              <w:rPr>
                <w:rFonts w:hint="eastAsia" w:ascii="方正书宋_GBK" w:hAnsi="宋体" w:eastAsia="方正书宋_GBK" w:cs="宋体"/>
                <w:b/>
                <w:bCs/>
                <w:color w:val="000000"/>
                <w:kern w:val="0"/>
                <w:sz w:val="28"/>
                <w:szCs w:val="28"/>
              </w:rPr>
              <w:t>单位性质</w:t>
            </w:r>
          </w:p>
        </w:tc>
        <w:tc>
          <w:tcPr>
            <w:tcW w:w="142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方正书宋_GBK" w:hAnsi="宋体" w:eastAsia="方正书宋_GBK" w:cs="宋体"/>
                <w:b/>
                <w:bCs/>
                <w:color w:val="000000"/>
                <w:kern w:val="0"/>
                <w:sz w:val="28"/>
                <w:szCs w:val="28"/>
              </w:rPr>
            </w:pPr>
            <w:r>
              <w:rPr>
                <w:rFonts w:hint="eastAsia" w:ascii="方正书宋_GBK" w:hAnsi="宋体" w:eastAsia="方正书宋_GBK" w:cs="宋体"/>
                <w:b/>
                <w:bCs/>
                <w:color w:val="000000"/>
                <w:kern w:val="0"/>
                <w:sz w:val="28"/>
                <w:szCs w:val="28"/>
              </w:rPr>
              <w:t>收费项目</w:t>
            </w:r>
          </w:p>
        </w:tc>
        <w:tc>
          <w:tcPr>
            <w:tcW w:w="157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方正书宋_GBK" w:hAnsi="宋体" w:eastAsia="方正书宋_GBK" w:cs="宋体"/>
                <w:b/>
                <w:bCs/>
                <w:color w:val="000000"/>
                <w:kern w:val="0"/>
                <w:sz w:val="28"/>
                <w:szCs w:val="28"/>
              </w:rPr>
            </w:pPr>
            <w:r>
              <w:rPr>
                <w:rFonts w:hint="eastAsia" w:ascii="方正书宋_GBK" w:hAnsi="宋体" w:eastAsia="方正书宋_GBK" w:cs="宋体"/>
                <w:b/>
                <w:bCs/>
                <w:color w:val="000000"/>
                <w:kern w:val="0"/>
                <w:sz w:val="28"/>
                <w:szCs w:val="28"/>
              </w:rPr>
              <w:t>收费性质</w:t>
            </w:r>
          </w:p>
        </w:tc>
        <w:tc>
          <w:tcPr>
            <w:tcW w:w="137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方正书宋_GBK" w:hAnsi="宋体" w:eastAsia="方正书宋_GBK" w:cs="宋体"/>
                <w:b/>
                <w:bCs/>
                <w:color w:val="000000"/>
                <w:kern w:val="0"/>
                <w:sz w:val="28"/>
                <w:szCs w:val="28"/>
              </w:rPr>
            </w:pPr>
            <w:r>
              <w:rPr>
                <w:rFonts w:hint="eastAsia" w:ascii="方正书宋_GBK" w:hAnsi="宋体" w:eastAsia="方正书宋_GBK" w:cs="宋体"/>
                <w:b/>
                <w:bCs/>
                <w:color w:val="000000"/>
                <w:kern w:val="0"/>
                <w:sz w:val="28"/>
                <w:szCs w:val="28"/>
              </w:rPr>
              <w:t>服务内容</w:t>
            </w:r>
            <w:r>
              <w:rPr>
                <w:rFonts w:hint="eastAsia" w:ascii="方正书宋_GBK" w:hAnsi="宋体" w:eastAsia="方正书宋_GBK" w:cs="宋体"/>
                <w:b/>
                <w:bCs/>
                <w:color w:val="000000"/>
                <w:kern w:val="0"/>
                <w:sz w:val="28"/>
                <w:szCs w:val="28"/>
              </w:rPr>
              <w:br w:type="textWrapping"/>
            </w:r>
            <w:r>
              <w:rPr>
                <w:rFonts w:hint="eastAsia" w:ascii="方正书宋_GBK" w:hAnsi="宋体" w:eastAsia="方正书宋_GBK" w:cs="宋体"/>
                <w:b/>
                <w:bCs/>
                <w:color w:val="000000"/>
                <w:kern w:val="0"/>
                <w:sz w:val="28"/>
                <w:szCs w:val="28"/>
              </w:rPr>
              <w:t>或涉及事项</w:t>
            </w:r>
          </w:p>
        </w:tc>
        <w:tc>
          <w:tcPr>
            <w:tcW w:w="156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方正书宋_GBK" w:hAnsi="宋体" w:eastAsia="方正书宋_GBK" w:cs="宋体"/>
                <w:b/>
                <w:bCs/>
                <w:color w:val="000000"/>
                <w:kern w:val="0"/>
                <w:sz w:val="28"/>
                <w:szCs w:val="28"/>
              </w:rPr>
            </w:pPr>
            <w:r>
              <w:rPr>
                <w:rFonts w:hint="eastAsia" w:ascii="方正书宋_GBK" w:hAnsi="宋体" w:eastAsia="方正书宋_GBK" w:cs="宋体"/>
                <w:b/>
                <w:bCs/>
                <w:color w:val="000000"/>
                <w:kern w:val="0"/>
                <w:sz w:val="28"/>
                <w:szCs w:val="28"/>
              </w:rPr>
              <w:t>收费标准</w:t>
            </w:r>
          </w:p>
        </w:tc>
        <w:tc>
          <w:tcPr>
            <w:tcW w:w="138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方正书宋_GBK" w:hAnsi="宋体" w:eastAsia="方正书宋_GBK" w:cs="宋体"/>
                <w:b/>
                <w:bCs/>
                <w:color w:val="000000"/>
                <w:kern w:val="0"/>
                <w:sz w:val="28"/>
                <w:szCs w:val="28"/>
              </w:rPr>
            </w:pPr>
            <w:r>
              <w:rPr>
                <w:rFonts w:hint="eastAsia" w:ascii="方正书宋_GBK" w:hAnsi="宋体" w:eastAsia="方正书宋_GBK" w:cs="宋体"/>
                <w:b/>
                <w:bCs/>
                <w:color w:val="000000"/>
                <w:kern w:val="0"/>
                <w:sz w:val="28"/>
                <w:szCs w:val="28"/>
              </w:rPr>
              <w:t>标准制定</w:t>
            </w:r>
            <w:r>
              <w:rPr>
                <w:rFonts w:hint="eastAsia" w:ascii="方正书宋_GBK" w:hAnsi="宋体" w:eastAsia="方正书宋_GBK" w:cs="宋体"/>
                <w:b/>
                <w:bCs/>
                <w:color w:val="000000"/>
                <w:kern w:val="0"/>
                <w:sz w:val="28"/>
                <w:szCs w:val="28"/>
              </w:rPr>
              <w:br w:type="textWrapping"/>
            </w:r>
            <w:r>
              <w:rPr>
                <w:rFonts w:hint="eastAsia" w:ascii="方正书宋_GBK" w:hAnsi="宋体" w:eastAsia="方正书宋_GBK" w:cs="宋体"/>
                <w:b/>
                <w:bCs/>
                <w:color w:val="000000"/>
                <w:kern w:val="0"/>
                <w:sz w:val="28"/>
                <w:szCs w:val="28"/>
              </w:rPr>
              <w:t>方式及部门</w:t>
            </w:r>
          </w:p>
        </w:tc>
        <w:tc>
          <w:tcPr>
            <w:tcW w:w="155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方正书宋_GBK" w:hAnsi="宋体" w:eastAsia="方正书宋_GBK" w:cs="宋体"/>
                <w:b/>
                <w:bCs/>
                <w:color w:val="000000"/>
                <w:kern w:val="0"/>
                <w:sz w:val="28"/>
                <w:szCs w:val="28"/>
              </w:rPr>
            </w:pPr>
            <w:r>
              <w:rPr>
                <w:rFonts w:hint="eastAsia" w:ascii="方正书宋_GBK" w:hAnsi="宋体" w:eastAsia="方正书宋_GBK" w:cs="宋体"/>
                <w:b/>
                <w:bCs/>
                <w:color w:val="000000"/>
                <w:kern w:val="0"/>
                <w:sz w:val="28"/>
                <w:szCs w:val="28"/>
              </w:rPr>
              <w:t>政策依据</w:t>
            </w:r>
          </w:p>
        </w:tc>
        <w:tc>
          <w:tcPr>
            <w:tcW w:w="569"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方正书宋_GBK" w:hAnsi="宋体" w:eastAsia="方正书宋_GBK" w:cs="宋体"/>
                <w:b/>
                <w:bCs/>
                <w:color w:val="000000"/>
                <w:kern w:val="0"/>
                <w:sz w:val="28"/>
                <w:szCs w:val="28"/>
              </w:rPr>
            </w:pPr>
            <w:r>
              <w:rPr>
                <w:rFonts w:hint="eastAsia" w:ascii="方正书宋_GBK" w:hAnsi="宋体" w:eastAsia="方正书宋_GBK" w:cs="宋体"/>
                <w:b/>
                <w:bCs/>
                <w:color w:val="000000"/>
                <w:kern w:val="0"/>
                <w:sz w:val="28"/>
                <w:szCs w:val="28"/>
              </w:rPr>
              <w:t>备注</w:t>
            </w:r>
          </w:p>
        </w:tc>
      </w:tr>
      <w:tr>
        <w:tblPrEx>
          <w:tblCellMar>
            <w:top w:w="0" w:type="dxa"/>
            <w:left w:w="108" w:type="dxa"/>
            <w:bottom w:w="0" w:type="dxa"/>
            <w:right w:w="108" w:type="dxa"/>
          </w:tblCellMar>
        </w:tblPrEx>
        <w:trPr>
          <w:trHeight w:val="60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政府定价的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证明证书、执照和文书上的签名、印鉴、日期属实或者相符，证明文书的副本、影印本、节本和译本与原本相符及其他相同证明</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每件收费500元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政府制定</w:t>
            </w:r>
          </w:p>
          <w:p>
            <w:pPr>
              <w:widowControl/>
              <w:jc w:val="left"/>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江苏省发展和改革委员会、江苏省司法厅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jc w:val="left"/>
              <w:rPr>
                <w:rFonts w:hint="eastAsia"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24"/>
              </w:rPr>
            </w:pPr>
          </w:p>
        </w:tc>
      </w:tr>
      <w:tr>
        <w:tblPrEx>
          <w:tblCellMar>
            <w:top w:w="0" w:type="dxa"/>
            <w:left w:w="108" w:type="dxa"/>
            <w:bottom w:w="0" w:type="dxa"/>
            <w:right w:w="108" w:type="dxa"/>
          </w:tblCellMar>
        </w:tblPrEx>
        <w:trPr>
          <w:trHeight w:val="60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政府定价的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firstLine="0" w:firstLineChars="0"/>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证明公证书的译文与原文相符</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rPr>
              <w:t>每件收费100元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政府制定</w:t>
            </w:r>
          </w:p>
          <w:p>
            <w:pPr>
              <w:widowControl/>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江苏省发展和改革委员会、江苏省司法厅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32"/>
                <w:szCs w:val="32"/>
              </w:rPr>
            </w:pPr>
          </w:p>
        </w:tc>
      </w:tr>
      <w:tr>
        <w:tblPrEx>
          <w:tblCellMar>
            <w:top w:w="0" w:type="dxa"/>
            <w:left w:w="108" w:type="dxa"/>
            <w:bottom w:w="0" w:type="dxa"/>
            <w:right w:w="108" w:type="dxa"/>
          </w:tblCellMar>
        </w:tblPrEx>
        <w:trPr>
          <w:trHeight w:val="60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政府定价的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firstLine="0" w:firstLineChars="0"/>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涉台公证书副本审查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rPr>
              <w:t>每件收费30元，邮寄费按实际支出另收</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政府制定</w:t>
            </w:r>
          </w:p>
          <w:p>
            <w:pPr>
              <w:widowControl/>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江苏省发展和改革委员会、江苏省司法厅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60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政府定价的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firstLine="0" w:firstLineChars="0"/>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查询公证档案资料</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每份公证卷宗收费20元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政府制定</w:t>
            </w:r>
          </w:p>
          <w:p>
            <w:pPr>
              <w:widowControl/>
              <w:jc w:val="left"/>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江苏省发展和改革委员会、江苏省司法厅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32"/>
                <w:szCs w:val="32"/>
              </w:rPr>
            </w:pPr>
          </w:p>
        </w:tc>
      </w:tr>
      <w:tr>
        <w:tblPrEx>
          <w:tblCellMar>
            <w:top w:w="0" w:type="dxa"/>
            <w:left w:w="108" w:type="dxa"/>
            <w:bottom w:w="0" w:type="dxa"/>
            <w:right w:w="108" w:type="dxa"/>
          </w:tblCellMar>
        </w:tblPrEx>
        <w:trPr>
          <w:trHeight w:val="600"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政府定价的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firstLine="0" w:firstLineChars="0"/>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公证书翻译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每件收费80元</w:t>
            </w:r>
            <w:r>
              <w:rPr>
                <w:rFonts w:hint="eastAsia" w:ascii="Times New Roman" w:hAnsi="Times New Roman" w:eastAsia="宋体" w:cs="Times New Roman"/>
                <w:color w:val="000000"/>
                <w:kern w:val="0"/>
                <w:sz w:val="21"/>
                <w:szCs w:val="21"/>
                <w:lang w:val="en-US" w:eastAsia="zh-CN" w:bidi="ar-SA"/>
              </w:rPr>
              <w:t>（</w:t>
            </w:r>
            <w:r>
              <w:rPr>
                <w:rFonts w:hint="default" w:ascii="Times New Roman" w:hAnsi="Times New Roman" w:eastAsia="宋体" w:cs="Times New Roman"/>
                <w:color w:val="000000"/>
                <w:kern w:val="0"/>
                <w:sz w:val="21"/>
                <w:szCs w:val="21"/>
                <w:lang w:val="en-US" w:eastAsia="zh-CN" w:bidi="ar-SA"/>
              </w:rPr>
              <w:t>不包括公证书以外的其他资料翻译</w:t>
            </w:r>
            <w:r>
              <w:rPr>
                <w:rFonts w:hint="eastAsia" w:ascii="Times New Roman" w:hAnsi="Times New Roman" w:eastAsia="宋体" w:cs="Times New Roman"/>
                <w:color w:val="000000"/>
                <w:kern w:val="0"/>
                <w:sz w:val="21"/>
                <w:szCs w:val="21"/>
                <w:lang w:val="en-US" w:eastAsia="zh-CN" w:bidi="ar-SA"/>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政府制定</w:t>
            </w:r>
          </w:p>
          <w:p>
            <w:pPr>
              <w:widowControl/>
              <w:jc w:val="left"/>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江苏省发展和改革委员会、江苏省司法厅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政府定价的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制作公证书副本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bidi="ar-SA"/>
              </w:rPr>
              <w:t>每份收费20元。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政府制定</w:t>
            </w:r>
          </w:p>
          <w:p>
            <w:pPr>
              <w:widowControl/>
              <w:jc w:val="left"/>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江苏省发展和改革委员会、江苏省司法厅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32"/>
                <w:szCs w:val="32"/>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政府定价的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证明商事合同（协议）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不涉及财产关系的每件收费400元。</w:t>
            </w:r>
            <w:r>
              <w:rPr>
                <w:rFonts w:hint="eastAsia" w:ascii="Times New Roman" w:hAnsi="Times New Roman" w:eastAsia="宋体" w:cs="Times New Roman"/>
                <w:color w:val="000000"/>
                <w:kern w:val="0"/>
                <w:sz w:val="21"/>
                <w:szCs w:val="21"/>
              </w:rPr>
              <w:br w:type="textWrapping"/>
            </w:r>
            <w:r>
              <w:rPr>
                <w:rFonts w:hint="eastAsia" w:ascii="Times New Roman" w:hAnsi="Times New Roman" w:eastAsia="宋体" w:cs="Times New Roman"/>
                <w:color w:val="000000"/>
                <w:kern w:val="0"/>
                <w:sz w:val="21"/>
                <w:szCs w:val="21"/>
              </w:rPr>
              <w:t>涉及财产关系的，根据标的额大小超额累退计费：不超过50万元的部分，按0.25%收取，最低收费400元；超过50万元至500万元的部分，按0.2%收取；超过500万元至5000万元的部分，按0.08%收取；超过5000万元至1亿元的部分，按0.04%收取；超过1亿元的部分，按0.005%收取。标的额大小不明确的，每件收费3000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政府制定</w:t>
            </w:r>
          </w:p>
          <w:p>
            <w:pPr>
              <w:widowControl/>
              <w:jc w:val="left"/>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江苏省发展和改革委员会、江苏省司法厅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32"/>
                <w:szCs w:val="32"/>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政府定价的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赋予债权文书具有强制执行效力</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按照证明商事合同（协议）的收费标准，并在收费金额基础上加收15%，最低收费1000元；</w:t>
            </w:r>
            <w:bookmarkStart w:id="0" w:name="OLE_LINK1"/>
            <w:r>
              <w:rPr>
                <w:rFonts w:hint="eastAsia" w:ascii="Times New Roman" w:hAnsi="Times New Roman" w:eastAsia="宋体" w:cs="Times New Roman"/>
                <w:color w:val="000000"/>
                <w:kern w:val="0"/>
                <w:sz w:val="21"/>
                <w:szCs w:val="21"/>
              </w:rPr>
              <w:t>出具执行证书的，按照执行标的额0.15%收取，最低收费1000元。</w:t>
            </w:r>
            <w:bookmarkEnd w:id="0"/>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政府制定</w:t>
            </w:r>
          </w:p>
          <w:p>
            <w:pPr>
              <w:widowControl/>
              <w:jc w:val="left"/>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江苏省发展和改革委员会、江苏省司法厅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32"/>
                <w:szCs w:val="32"/>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政府定价的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证明财产继承、 赠与、接受遗赠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根据受益额大小超额累退计费：不超过20万元的部分，按1.0%收取；超过20万元至50万元的部分，按0.7%收取；超过50万元至500万元的部分，按0.5%收取；超过500万元至1000万元的部分，按0.3%收取；超过1000万元的部分，按0.1%收取。证明单方赠与或受赠的，按以上标准减半收取。</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政府制定</w:t>
            </w:r>
          </w:p>
          <w:p>
            <w:pPr>
              <w:widowControl/>
              <w:jc w:val="left"/>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江苏省发展和改革委员会、江苏省司法厅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32"/>
                <w:szCs w:val="32"/>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政府定价的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证明委托、声明、保证等其他单方法律行为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每件收费500元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政府制定</w:t>
            </w:r>
          </w:p>
          <w:p>
            <w:pPr>
              <w:widowControl/>
              <w:jc w:val="left"/>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江苏省发展和改革委员会、江苏省司法厅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32"/>
                <w:szCs w:val="32"/>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政府定价的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证明招标投标、拍卖、挂牌等竞争性交易行为的现场监督</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根据标的额大小超额累退计费：不超过200万元的，每件按2000 元收取；超过200万元至1000万元的部分，按0.1%收取；超过1000万元至3000万元的部分，按 0.08%收取；超过3000万元至5000万元的部分，按0.04%收取；超过5000万元的部分，按0.008%收取。</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政府制定</w:t>
            </w:r>
          </w:p>
          <w:p>
            <w:pPr>
              <w:widowControl/>
              <w:jc w:val="left"/>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江苏省发展和改革委员会、江苏省司法厅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32"/>
                <w:szCs w:val="32"/>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政府定价的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提存公证</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根据标的额大小超额累退计费：1000万元及以下部分，按0.2%收取，最低收费400元；超过1000 万元至1亿元部分（含1亿元），按 0.064%收取；1 亿元以上部分，按0.04% 收取。（代当事人支付的保管费另收）</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政府制定</w:t>
            </w:r>
          </w:p>
          <w:p>
            <w:pPr>
              <w:widowControl/>
              <w:jc w:val="left"/>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江苏省发展和改革委员会、江苏省司法厅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32"/>
                <w:szCs w:val="32"/>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证明开奖、抽签、会议、订立公司章程、物品销毁、竞赛等现场监督公证</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1小时以内的，每件收费2000元；每超过1小时加收1000元（不足1小时的按1小时计）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公证机构主持确定商品房选房顺序号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一轮摇号的，每件收取30000元-50000元；每增加一轮摇号的，加收50%；增加的总比例不超过100%。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对财产清点、购物、送达、现场状况、当事人陈述、书证、物证、视听资料、电子数据、证人证言等行为和事实保全证据公证</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1小时以内的，每件收费1000元-2000元；每超过1小时加收1000元（不足1小时的按1小时计）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保管文书等</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每件收费500元/年；不足一年的，按一年收取</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办理电子存证业务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双方协商确定</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代拟、修改法律文书</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委托、声明等单方行为的简易法律文书，每件收费100元起；合同协议类复杂的法律文书，每件收费500元起；公司章程等其他法律文书，每件收费3000元起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出具法律意见书</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不涉及财产的，每件收费5000元起；涉及财产的，按标的额收取1.5%（按比例收费不到5000元按5000元计）。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调解、咨询</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双方协商确定，简单的口头咨询免费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公证顾问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每年收费10000元起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代办登记、认证事务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每件收费100元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办理贷前调查等调查类法律服务的</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双方协商确定</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确定</w:t>
            </w:r>
            <w:r>
              <w:rPr>
                <w:rFonts w:hint="eastAsia" w:ascii="Times New Roman" w:hAnsi="Times New Roman" w:eastAsia="宋体" w:cs="Times New Roman"/>
                <w:color w:val="000000"/>
                <w:kern w:val="0"/>
                <w:sz w:val="21"/>
                <w:szCs w:val="21"/>
                <w:lang w:eastAsia="zh-CN"/>
              </w:rPr>
              <w:t>、担任</w:t>
            </w:r>
            <w:r>
              <w:rPr>
                <w:rFonts w:hint="eastAsia" w:ascii="Times New Roman" w:hAnsi="Times New Roman" w:eastAsia="宋体" w:cs="Times New Roman"/>
                <w:color w:val="000000"/>
                <w:kern w:val="0"/>
                <w:sz w:val="21"/>
                <w:szCs w:val="21"/>
              </w:rPr>
              <w:t>破产管理人公证</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双方协商确定</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应当事人请求，提供上门服务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500元起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应当事人请求，提供加急服务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加收50%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应当事人请求，通过在线系统远程办理法律行为类公证</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加收700元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286" w:hRule="atLeast"/>
        </w:trPr>
        <w:tc>
          <w:tcPr>
            <w:tcW w:w="660"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南京市溧水区司法局</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江苏省南京市溧水公证处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事业单位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rPr>
              <w:t>公证</w:t>
            </w:r>
            <w:r>
              <w:rPr>
                <w:rFonts w:hint="eastAsia" w:ascii="Times New Roman" w:hAnsi="Times New Roman" w:eastAsia="宋体" w:cs="Times New Roman"/>
                <w:color w:val="000000"/>
                <w:kern w:val="0"/>
                <w:sz w:val="21"/>
                <w:szCs w:val="21"/>
                <w:lang w:eastAsia="zh-CN"/>
              </w:rPr>
              <w:t>服务</w:t>
            </w:r>
            <w:r>
              <w:rPr>
                <w:rFonts w:hint="default" w:ascii="Times New Roman" w:hAnsi="Times New Roman" w:eastAsia="宋体" w:cs="Times New Roman"/>
                <w:color w:val="000000"/>
                <w:kern w:val="0"/>
                <w:sz w:val="21"/>
                <w:szCs w:val="21"/>
                <w:lang w:eastAsia="zh-CN"/>
              </w:rPr>
              <w:t>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eastAsia="zh-CN"/>
              </w:rPr>
              <w:t>市场调节价的</w:t>
            </w:r>
            <w:r>
              <w:rPr>
                <w:rFonts w:hint="default" w:ascii="Times New Roman" w:hAnsi="Times New Roman" w:eastAsia="宋体" w:cs="Times New Roman"/>
                <w:color w:val="000000"/>
                <w:kern w:val="0"/>
                <w:sz w:val="21"/>
                <w:szCs w:val="21"/>
                <w:lang w:eastAsia="zh-CN"/>
              </w:rPr>
              <w:t>经营服务</w:t>
            </w:r>
            <w:r>
              <w:rPr>
                <w:rFonts w:hint="eastAsia" w:ascii="Times New Roman" w:hAnsi="Times New Roman" w:eastAsia="宋体" w:cs="Times New Roman"/>
                <w:color w:val="000000"/>
                <w:kern w:val="0"/>
                <w:sz w:val="21"/>
                <w:szCs w:val="21"/>
                <w:lang w:eastAsia="zh-CN"/>
              </w:rPr>
              <w:t>性</w:t>
            </w:r>
            <w:r>
              <w:rPr>
                <w:rFonts w:hint="default" w:ascii="Times New Roman" w:hAnsi="Times New Roman" w:eastAsia="宋体" w:cs="Times New Roman"/>
                <w:color w:val="000000"/>
                <w:kern w:val="0"/>
                <w:sz w:val="21"/>
                <w:szCs w:val="21"/>
                <w:lang w:eastAsia="zh-CN"/>
              </w:rPr>
              <w:t>收费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其他公证服务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eastAsia="zh-CN"/>
              </w:rPr>
              <w:t>双方协商确定</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eastAsia="zh-CN"/>
              </w:rPr>
              <w:t>市场调节价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江苏省发展改革委、江苏省司法厅《关于公布江苏省实行政府指导价管理的公证服务项目目录及收费标准的通知》（苏发改收费发〔2024〕144号）</w:t>
            </w:r>
          </w:p>
        </w:tc>
        <w:tc>
          <w:tcPr>
            <w:tcW w:w="569"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ascii="Times New Roman" w:hAnsi="Times New Roman" w:eastAsia="宋体" w:cs="Times New Roman"/>
                <w:color w:val="000000"/>
                <w:kern w:val="0"/>
                <w:sz w:val="24"/>
                <w:szCs w:val="24"/>
              </w:rPr>
            </w:pPr>
          </w:p>
        </w:tc>
      </w:tr>
    </w:tbl>
    <w:p>
      <w:pPr>
        <w:widowControl/>
        <w:spacing w:line="600" w:lineRule="exact"/>
        <w:ind w:firstLine="640"/>
        <w:rPr>
          <w:rFonts w:ascii="Times New Roman" w:hAnsi="Times New Roman" w:eastAsia="方正仿宋_GBK" w:cs="Times New Roman"/>
          <w:sz w:val="32"/>
          <w:szCs w:val="32"/>
        </w:rPr>
      </w:pPr>
    </w:p>
    <w:sectPr>
      <w:pgSz w:w="16838" w:h="11906" w:orient="landscape"/>
      <w:pgMar w:top="1474" w:right="1440" w:bottom="1474" w:left="1440" w:header="851" w:footer="992" w:gutter="0"/>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ODkyZTViYTg1ZGM5ZTVkOTc2MGU4ZmY1NWQ2ZTkifQ=="/>
  </w:docVars>
  <w:rsids>
    <w:rsidRoot w:val="00AA793D"/>
    <w:rsid w:val="00011278"/>
    <w:rsid w:val="00023C9D"/>
    <w:rsid w:val="00092FD1"/>
    <w:rsid w:val="001A59A2"/>
    <w:rsid w:val="00251A97"/>
    <w:rsid w:val="002C0BA7"/>
    <w:rsid w:val="00307B77"/>
    <w:rsid w:val="00452109"/>
    <w:rsid w:val="00521032"/>
    <w:rsid w:val="005342CE"/>
    <w:rsid w:val="005F0DFA"/>
    <w:rsid w:val="006B00B6"/>
    <w:rsid w:val="006E70AF"/>
    <w:rsid w:val="00850CFD"/>
    <w:rsid w:val="00856249"/>
    <w:rsid w:val="008D4BA9"/>
    <w:rsid w:val="00906A92"/>
    <w:rsid w:val="0097346C"/>
    <w:rsid w:val="009C315A"/>
    <w:rsid w:val="00A61386"/>
    <w:rsid w:val="00AA793D"/>
    <w:rsid w:val="00AE621B"/>
    <w:rsid w:val="00B40A80"/>
    <w:rsid w:val="00B84FF5"/>
    <w:rsid w:val="00BF1A31"/>
    <w:rsid w:val="00D62020"/>
    <w:rsid w:val="00E27EDC"/>
    <w:rsid w:val="00E7695E"/>
    <w:rsid w:val="00EF1D92"/>
    <w:rsid w:val="00F11BFB"/>
    <w:rsid w:val="00F12EA4"/>
    <w:rsid w:val="00F83FF7"/>
    <w:rsid w:val="00F928E8"/>
    <w:rsid w:val="00FD6555"/>
    <w:rsid w:val="02EE3C38"/>
    <w:rsid w:val="0FF95A3E"/>
    <w:rsid w:val="137E7762"/>
    <w:rsid w:val="15693091"/>
    <w:rsid w:val="16146B22"/>
    <w:rsid w:val="195E3937"/>
    <w:rsid w:val="1D3C3AC6"/>
    <w:rsid w:val="22073FEB"/>
    <w:rsid w:val="257162D7"/>
    <w:rsid w:val="2AA35184"/>
    <w:rsid w:val="35A95743"/>
    <w:rsid w:val="38003C16"/>
    <w:rsid w:val="390F1C37"/>
    <w:rsid w:val="39ED2244"/>
    <w:rsid w:val="43541649"/>
    <w:rsid w:val="469519CD"/>
    <w:rsid w:val="46971BE9"/>
    <w:rsid w:val="488A12DA"/>
    <w:rsid w:val="4A2A4B22"/>
    <w:rsid w:val="56933A4F"/>
    <w:rsid w:val="575E5E0B"/>
    <w:rsid w:val="5EF3152F"/>
    <w:rsid w:val="611A0CDF"/>
    <w:rsid w:val="638D1F52"/>
    <w:rsid w:val="64B870CB"/>
    <w:rsid w:val="6942558D"/>
    <w:rsid w:val="69564B94"/>
    <w:rsid w:val="6BA77929"/>
    <w:rsid w:val="6D2F5E28"/>
    <w:rsid w:val="71777D9E"/>
    <w:rsid w:val="75252DF3"/>
    <w:rsid w:val="75D85984"/>
    <w:rsid w:val="784B5AE0"/>
    <w:rsid w:val="7BF7E959"/>
    <w:rsid w:val="7BFFF806"/>
    <w:rsid w:val="FBFB9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character" w:customStyle="1" w:styleId="12">
    <w:name w:val="font71"/>
    <w:basedOn w:val="7"/>
    <w:qFormat/>
    <w:uiPriority w:val="0"/>
    <w:rPr>
      <w:rFonts w:hint="default" w:ascii="Times New Roman" w:hAnsi="Times New Roman" w:cs="Times New Roman"/>
      <w:color w:val="000000"/>
      <w:sz w:val="28"/>
      <w:szCs w:val="28"/>
      <w:u w:val="none"/>
    </w:rPr>
  </w:style>
  <w:style w:type="character" w:customStyle="1" w:styleId="13">
    <w:name w:val="font81"/>
    <w:basedOn w:val="7"/>
    <w:qFormat/>
    <w:uiPriority w:val="0"/>
    <w:rPr>
      <w:rFonts w:hint="eastAsia" w:ascii="方正仿宋_GBK" w:eastAsia="方正仿宋_GBK"/>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1595</Words>
  <Characters>1764</Characters>
  <Lines>14</Lines>
  <Paragraphs>4</Paragraphs>
  <TotalTime>1</TotalTime>
  <ScaleCrop>false</ScaleCrop>
  <LinksUpToDate>false</LinksUpToDate>
  <CharactersWithSpaces>1771</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2025-05-17T17:06:00Z</dcterms:created>
  <dc:creator>耿立强</dc:creator>
  <cp:lastModifiedBy>user</cp:lastModifiedBy>
  <cp:lastPrinted>2025-05-20T01:07:00Z</cp:lastPrinted>
  <dcterms:modified xsi:type="dcterms:W3CDTF">2026-01-04T11:42:04Z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E73B1227529E9CC18CE1596962E8ECA1</vt:lpwstr>
  </property>
</Properties>
</file>