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adjustRightInd/>
        <w:spacing w:line="590" w:lineRule="exact"/>
        <w:jc w:val="both"/>
        <w:textAlignment w:val="auto"/>
        <w:rPr>
          <w:rFonts w:hint="default" w:ascii="Times New Roman" w:hAnsi="Times New Roman" w:eastAsia="宋体" w:cs="Times New Roman"/>
          <w:b w:val="0"/>
          <w:bCs/>
          <w:color w:val="auto"/>
          <w:spacing w:val="0"/>
          <w:kern w:val="4"/>
          <w:sz w:val="32"/>
          <w:szCs w:val="32"/>
          <w:shd w:val="clear" w:color="FFFFFF" w:fill="D9D9D9"/>
          <w:lang w:val="en-US" w:eastAsia="zh-CN"/>
        </w:rPr>
      </w:pPr>
      <w:bookmarkStart w:id="0" w:name="_GoBack"/>
      <w:bookmarkEnd w:id="0"/>
      <w:r>
        <w:rPr>
          <w:rFonts w:hint="default" w:ascii="Times New Roman" w:hAnsi="Times New Roman" w:eastAsia="宋体" w:cs="Times New Roman"/>
          <w:b w:val="0"/>
          <w:bCs/>
          <w:color w:val="auto"/>
          <w:spacing w:val="0"/>
          <w:kern w:val="4"/>
          <w:sz w:val="32"/>
          <w:szCs w:val="32"/>
          <w:shd w:val="clear" w:color="FFFFFF" w:fill="D9D9D9"/>
          <w:lang w:val="en-US" w:eastAsia="zh-CN"/>
        </w:rPr>
        <w:t>阴影为修改内容</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textAlignment w:val="auto"/>
        <w:rPr>
          <w:rFonts w:ascii="仿宋_GB2312" w:eastAsia="仿宋_GB2312"/>
          <w:sz w:val="32"/>
          <w:szCs w:val="32"/>
        </w:rPr>
      </w:pPr>
    </w:p>
    <w:p>
      <w:pPr>
        <w:pStyle w:val="6"/>
        <w:spacing w:before="0" w:beforeAutospacing="0" w:after="0" w:afterAutospacing="0"/>
        <w:jc w:val="center"/>
        <w:rPr>
          <w:rFonts w:hint="eastAsia" w:ascii="方正小标宋_GBK" w:hAnsi="方正小标宋_GBK" w:eastAsia="方正小标宋_GBK" w:cs="方正小标宋_GBK"/>
          <w:color w:val="auto"/>
          <w:sz w:val="44"/>
          <w:szCs w:val="44"/>
          <w:highlight w:val="none"/>
          <w:shd w:val="clear" w:color="FFFFFF" w:fill="D9D9D9"/>
        </w:rPr>
      </w:pPr>
      <w:r>
        <w:rPr>
          <w:rFonts w:hint="eastAsia" w:ascii="方正小标宋_GBK" w:hAnsi="方正小标宋_GBK" w:eastAsia="方正小标宋_GBK" w:cs="方正小标宋_GBK"/>
          <w:color w:val="auto"/>
          <w:sz w:val="44"/>
          <w:szCs w:val="44"/>
          <w:highlight w:val="none"/>
          <w:shd w:val="clear" w:color="FFFFFF" w:fill="D9D9D9"/>
        </w:rPr>
        <w:t>南京市溧水区公益性骨灰堂管理办法</w:t>
      </w: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default" w:ascii="Times New Roman" w:hAnsi="Times New Roman" w:eastAsia="宋体" w:cs="Times New Roman"/>
          <w:sz w:val="36"/>
          <w:szCs w:val="36"/>
        </w:rPr>
      </w:pP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2019</w:t>
      </w:r>
      <w:r>
        <w:rPr>
          <w:rFonts w:hint="default" w:ascii="Times New Roman" w:hAnsi="Times New Roman" w:eastAsia="仿宋_GB2312" w:cs="Times New Roman"/>
          <w:sz w:val="32"/>
          <w:szCs w:val="32"/>
          <w:lang w:val="en-US" w:eastAsia="zh-CN"/>
        </w:rPr>
        <w:t>年8月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日以溧政规〔201</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号文发布 根据年 月 日发布的《南京市溧水区人民政府关于对部分区政府行政规范性文件予以保留、废止、修改和延长有效期的决定》修正</w:t>
      </w:r>
      <w:r>
        <w:rPr>
          <w:rFonts w:hint="default" w:ascii="Times New Roman" w:hAnsi="Times New Roman" w:eastAsia="仿宋_GB2312" w:cs="Times New Roman"/>
          <w:sz w:val="32"/>
          <w:szCs w:val="32"/>
          <w:lang w:eastAsia="zh-CN"/>
        </w:rPr>
        <w:t>）</w:t>
      </w:r>
    </w:p>
    <w:p>
      <w:pPr>
        <w:pStyle w:val="6"/>
        <w:spacing w:before="0" w:beforeAutospacing="0" w:after="0" w:afterAutospacing="0" w:line="540" w:lineRule="exact"/>
        <w:ind w:firstLine="3200" w:firstLineChars="1000"/>
        <w:rPr>
          <w:rFonts w:ascii="汉鼎简特宋" w:hAnsi="Times New Roman" w:cs="Times New Roman"/>
          <w:sz w:val="32"/>
          <w:szCs w:val="32"/>
        </w:rPr>
      </w:pPr>
    </w:p>
    <w:p>
      <w:pPr>
        <w:adjustRightInd w:val="0"/>
        <w:snapToGrid w:val="0"/>
        <w:spacing w:line="560" w:lineRule="exact"/>
        <w:jc w:val="center"/>
        <w:rPr>
          <w:rFonts w:ascii="黑体" w:hAnsi="黑体" w:eastAsia="黑体"/>
          <w:sz w:val="32"/>
          <w:szCs w:val="32"/>
        </w:rPr>
      </w:pPr>
      <w:r>
        <w:rPr>
          <w:rFonts w:hint="eastAsia" w:ascii="黑体" w:hAnsi="黑体" w:eastAsia="黑体"/>
          <w:sz w:val="32"/>
          <w:szCs w:val="32"/>
        </w:rPr>
        <w:t xml:space="preserve">第一章 </w:t>
      </w:r>
      <w:r>
        <w:rPr>
          <w:rFonts w:ascii="黑体" w:hAnsi="黑体" w:eastAsia="黑体"/>
          <w:sz w:val="32"/>
          <w:szCs w:val="32"/>
        </w:rPr>
        <w:t xml:space="preserve"> </w:t>
      </w:r>
      <w:r>
        <w:rPr>
          <w:rFonts w:hint="eastAsia" w:ascii="黑体" w:hAnsi="黑体" w:eastAsia="黑体"/>
          <w:sz w:val="32"/>
          <w:szCs w:val="32"/>
        </w:rPr>
        <w:t>总则</w:t>
      </w:r>
    </w:p>
    <w:p>
      <w:pPr>
        <w:spacing w:line="560" w:lineRule="exact"/>
        <w:ind w:firstLine="640" w:firstLineChars="200"/>
        <w:rPr>
          <w:rFonts w:hint="eastAsia" w:ascii="仿宋" w:hAnsi="仿宋" w:eastAsia="仿宋"/>
          <w:sz w:val="32"/>
          <w:szCs w:val="32"/>
        </w:rPr>
      </w:pPr>
      <w:r>
        <w:rPr>
          <w:rFonts w:hint="eastAsia" w:ascii="楷体" w:hAnsi="楷体" w:eastAsia="楷体"/>
          <w:sz w:val="32"/>
          <w:szCs w:val="32"/>
        </w:rPr>
        <w:t>第一条</w:t>
      </w:r>
      <w:r>
        <w:rPr>
          <w:rFonts w:hint="eastAsia" w:ascii="仿宋" w:hAnsi="仿宋" w:eastAsia="仿宋"/>
          <w:sz w:val="32"/>
          <w:szCs w:val="32"/>
        </w:rPr>
        <w:t xml:space="preserve">  </w:t>
      </w:r>
      <w:r>
        <w:rPr>
          <w:rFonts w:hint="eastAsia" w:ascii="仿宋_GB2312" w:hAnsi="仿宋" w:eastAsia="仿宋_GB2312"/>
          <w:sz w:val="32"/>
          <w:szCs w:val="32"/>
        </w:rPr>
        <w:t>加强和完善公益性骨灰堂的管理服务是一项重要的民生工程。为深化殡葬改革，保护生态环境，节约土地资源，规范公益性</w:t>
      </w:r>
      <w:r>
        <w:rPr>
          <w:rFonts w:hint="eastAsia" w:ascii="仿宋_GB2312" w:hAnsi="仿宋" w:eastAsia="仿宋_GB2312" w:cs="宋体"/>
          <w:sz w:val="32"/>
          <w:szCs w:val="32"/>
        </w:rPr>
        <w:t>骨灰堂</w:t>
      </w:r>
      <w:r>
        <w:rPr>
          <w:rFonts w:hint="eastAsia" w:ascii="仿宋_GB2312" w:hAnsi="仿宋" w:eastAsia="仿宋_GB2312"/>
          <w:sz w:val="32"/>
          <w:szCs w:val="32"/>
        </w:rPr>
        <w:t>的使用和管理，依据《殡葬管理条例》（国务院令225号）、</w:t>
      </w:r>
      <w:r>
        <w:rPr>
          <w:rFonts w:hint="eastAsia" w:ascii="仿宋_GB2312" w:hAnsi="仿宋" w:eastAsia="仿宋_GB2312"/>
          <w:sz w:val="32"/>
          <w:szCs w:val="32"/>
          <w:highlight w:val="none"/>
          <w:shd w:val="clear" w:color="FFFFFF" w:fill="D9D9D9"/>
        </w:rPr>
        <w:t>《江苏省殡葬管理</w:t>
      </w:r>
      <w:r>
        <w:rPr>
          <w:rFonts w:hint="eastAsia" w:ascii="仿宋_GB2312" w:hAnsi="仿宋" w:eastAsia="仿宋_GB2312"/>
          <w:sz w:val="32"/>
          <w:szCs w:val="32"/>
          <w:highlight w:val="none"/>
          <w:shd w:val="clear" w:color="FFFFFF" w:fill="D9D9D9"/>
          <w:lang w:eastAsia="zh-CN"/>
        </w:rPr>
        <w:t>条例</w:t>
      </w:r>
      <w:r>
        <w:rPr>
          <w:rFonts w:hint="eastAsia" w:ascii="仿宋_GB2312" w:hAnsi="仿宋" w:eastAsia="仿宋_GB2312"/>
          <w:sz w:val="32"/>
          <w:szCs w:val="32"/>
          <w:highlight w:val="none"/>
          <w:shd w:val="clear" w:color="FFFFFF" w:fill="D9D9D9"/>
        </w:rPr>
        <w:t>》（江苏省人大常委会公告第57号）</w:t>
      </w:r>
      <w:r>
        <w:rPr>
          <w:rFonts w:hint="eastAsia" w:ascii="仿宋_GB2312" w:hAnsi="仿宋" w:eastAsia="仿宋_GB2312"/>
          <w:sz w:val="32"/>
          <w:szCs w:val="32"/>
        </w:rPr>
        <w:t>、《南京市殡葬管理办法》（市政府令第185号）、</w:t>
      </w:r>
      <w:r>
        <w:rPr>
          <w:rFonts w:hint="eastAsia" w:ascii="仿宋_GB2312" w:hAnsi="仿宋" w:eastAsia="仿宋_GB2312"/>
          <w:sz w:val="32"/>
          <w:szCs w:val="32"/>
          <w:highlight w:val="none"/>
          <w:shd w:val="clear" w:color="FFFFFF" w:fill="D9D9D9"/>
        </w:rPr>
        <w:t>《南京市公益性骨灰堂管理办法》（</w:t>
      </w:r>
      <w:r>
        <w:rPr>
          <w:rFonts w:hint="eastAsia" w:ascii="仿宋_GB2312" w:hAnsi="仿宋" w:eastAsia="仿宋_GB2312"/>
          <w:sz w:val="32"/>
          <w:szCs w:val="32"/>
          <w:highlight w:val="none"/>
          <w:shd w:val="clear" w:color="FFFFFF" w:fill="D9D9D9"/>
          <w:lang w:eastAsia="zh-CN"/>
        </w:rPr>
        <w:t>宁</w:t>
      </w:r>
      <w:r>
        <w:rPr>
          <w:rFonts w:hint="eastAsia" w:ascii="仿宋_GB2312" w:hAnsi="仿宋" w:eastAsia="仿宋_GB2312"/>
          <w:sz w:val="32"/>
          <w:szCs w:val="32"/>
          <w:highlight w:val="none"/>
          <w:shd w:val="clear" w:color="FFFFFF" w:fill="D9D9D9"/>
        </w:rPr>
        <w:t>政规字〔2019〕1号）</w:t>
      </w:r>
      <w:r>
        <w:rPr>
          <w:rFonts w:hint="eastAsia" w:ascii="仿宋_GB2312" w:hAnsi="仿宋" w:eastAsia="仿宋_GB2312"/>
          <w:sz w:val="32"/>
          <w:szCs w:val="32"/>
        </w:rPr>
        <w:t>等有关规定，结合溧水区实际，制定本办法。</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第二条</w:t>
      </w:r>
      <w:r>
        <w:rPr>
          <w:rFonts w:hint="eastAsia" w:ascii="仿宋" w:hAnsi="仿宋" w:eastAsia="仿宋"/>
          <w:sz w:val="32"/>
          <w:szCs w:val="32"/>
        </w:rPr>
        <w:t xml:space="preserve">  </w:t>
      </w:r>
      <w:r>
        <w:rPr>
          <w:rFonts w:hint="eastAsia" w:ascii="仿宋_GB2312" w:hAnsi="仿宋" w:eastAsia="仿宋_GB2312"/>
          <w:sz w:val="32"/>
          <w:szCs w:val="32"/>
        </w:rPr>
        <w:t>公益性骨灰堂（以下简称骨灰堂）是指不以营利为目的，集中存放本辖区内村（居）民骨灰的公共殡葬设施。</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第三条</w:t>
      </w:r>
      <w:r>
        <w:rPr>
          <w:rFonts w:hint="eastAsia" w:ascii="仿宋" w:hAnsi="仿宋" w:eastAsia="仿宋"/>
          <w:sz w:val="32"/>
          <w:szCs w:val="32"/>
        </w:rPr>
        <w:t xml:space="preserve">  </w:t>
      </w:r>
      <w:r>
        <w:rPr>
          <w:rFonts w:hint="eastAsia" w:ascii="仿宋_GB2312" w:hAnsi="仿宋" w:eastAsia="仿宋_GB2312"/>
          <w:sz w:val="32"/>
          <w:szCs w:val="32"/>
        </w:rPr>
        <w:t>本办法适用于本行政区内骨灰堂的管理工作。</w:t>
      </w:r>
    </w:p>
    <w:p>
      <w:pPr>
        <w:spacing w:line="560" w:lineRule="exact"/>
        <w:jc w:val="center"/>
        <w:rPr>
          <w:rFonts w:ascii="黑体" w:hAnsi="黑体" w:eastAsia="黑体"/>
          <w:sz w:val="32"/>
          <w:szCs w:val="32"/>
        </w:rPr>
      </w:pPr>
    </w:p>
    <w:p>
      <w:pPr>
        <w:spacing w:line="560" w:lineRule="exact"/>
        <w:jc w:val="center"/>
        <w:rPr>
          <w:rFonts w:hint="eastAsia" w:ascii="黑体" w:hAnsi="黑体" w:eastAsia="黑体"/>
          <w:sz w:val="32"/>
          <w:szCs w:val="32"/>
        </w:rPr>
      </w:pPr>
      <w:r>
        <w:rPr>
          <w:rFonts w:hint="eastAsia" w:ascii="黑体" w:hAnsi="黑体" w:eastAsia="黑体"/>
          <w:sz w:val="32"/>
          <w:szCs w:val="32"/>
        </w:rPr>
        <w:t>第二章  管理要求</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第四条</w:t>
      </w:r>
      <w:r>
        <w:rPr>
          <w:rFonts w:hint="eastAsia" w:ascii="仿宋" w:hAnsi="仿宋" w:eastAsia="仿宋"/>
          <w:sz w:val="32"/>
          <w:szCs w:val="32"/>
        </w:rPr>
        <w:t xml:space="preserve">  </w:t>
      </w:r>
      <w:r>
        <w:rPr>
          <w:rFonts w:hint="eastAsia" w:ascii="仿宋_GB2312" w:hAnsi="仿宋" w:eastAsia="仿宋_GB2312"/>
          <w:sz w:val="32"/>
          <w:szCs w:val="32"/>
        </w:rPr>
        <w:t>依法依规。自觉遵守法律法规，严格按照规定完善业务管理、财务管理、档案管理，提高骨灰堂管理服务水平。</w:t>
      </w:r>
    </w:p>
    <w:p>
      <w:pPr>
        <w:spacing w:line="560" w:lineRule="exact"/>
        <w:ind w:firstLine="640" w:firstLineChars="200"/>
        <w:rPr>
          <w:rFonts w:hint="eastAsia" w:ascii="仿宋" w:hAnsi="仿宋" w:eastAsia="仿宋"/>
          <w:sz w:val="32"/>
          <w:szCs w:val="32"/>
        </w:rPr>
      </w:pPr>
      <w:r>
        <w:rPr>
          <w:rFonts w:hint="eastAsia" w:ascii="楷体" w:hAnsi="楷体" w:eastAsia="楷体"/>
          <w:sz w:val="32"/>
          <w:szCs w:val="32"/>
        </w:rPr>
        <w:t xml:space="preserve">第五条 </w:t>
      </w:r>
      <w:r>
        <w:rPr>
          <w:rFonts w:hint="eastAsia" w:ascii="仿宋" w:hAnsi="仿宋" w:eastAsia="仿宋"/>
          <w:sz w:val="32"/>
          <w:szCs w:val="32"/>
        </w:rPr>
        <w:t xml:space="preserve"> </w:t>
      </w:r>
      <w:r>
        <w:rPr>
          <w:rFonts w:hint="eastAsia" w:ascii="仿宋_GB2312" w:hAnsi="仿宋" w:eastAsia="仿宋_GB2312"/>
          <w:sz w:val="32"/>
          <w:szCs w:val="32"/>
        </w:rPr>
        <w:t>属地管理。区民政部门、镇（街）应将骨灰堂管理纳入殡葬目标考核，明确责任、落实到人。</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区政府负责骨灰堂的监督管理，区民政部门负责骨灰堂的管理考核和从业人员业务技能培训，镇（街）负责骨灰堂的日常管理。</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 xml:space="preserve">第六条 </w:t>
      </w:r>
      <w:r>
        <w:rPr>
          <w:rFonts w:hint="eastAsia" w:ascii="仿宋" w:hAnsi="仿宋" w:eastAsia="仿宋"/>
          <w:sz w:val="32"/>
          <w:szCs w:val="32"/>
        </w:rPr>
        <w:t xml:space="preserve"> </w:t>
      </w:r>
      <w:r>
        <w:rPr>
          <w:rFonts w:hint="eastAsia" w:ascii="仿宋_GB2312" w:hAnsi="仿宋" w:eastAsia="仿宋_GB2312"/>
          <w:sz w:val="32"/>
          <w:szCs w:val="32"/>
        </w:rPr>
        <w:t>便民惠民。实行骨灰免费存放。骨灰堂应简化、规范服务流程，并做好公示工作。提供便民服务，确保居民骨灰存放方便、快捷；确保群众祭扫绿色、文明。</w:t>
      </w:r>
    </w:p>
    <w:p>
      <w:pPr>
        <w:spacing w:line="560" w:lineRule="exact"/>
        <w:ind w:firstLine="640" w:firstLineChars="200"/>
        <w:rPr>
          <w:rFonts w:ascii="仿宋_GB2312" w:hAnsi="仿宋" w:eastAsia="仿宋_GB2312"/>
          <w:sz w:val="32"/>
          <w:szCs w:val="32"/>
        </w:rPr>
      </w:pPr>
      <w:r>
        <w:rPr>
          <w:rFonts w:hint="eastAsia" w:ascii="楷体" w:hAnsi="楷体" w:eastAsia="楷体"/>
          <w:sz w:val="32"/>
          <w:szCs w:val="32"/>
        </w:rPr>
        <w:t>第七条</w:t>
      </w:r>
      <w:r>
        <w:rPr>
          <w:rFonts w:hint="eastAsia" w:ascii="仿宋" w:hAnsi="仿宋" w:eastAsia="仿宋"/>
          <w:sz w:val="32"/>
          <w:szCs w:val="32"/>
        </w:rPr>
        <w:t xml:space="preserve">  </w:t>
      </w:r>
      <w:r>
        <w:rPr>
          <w:rFonts w:hint="eastAsia" w:ascii="仿宋_GB2312" w:hAnsi="仿宋" w:eastAsia="仿宋_GB2312"/>
          <w:sz w:val="32"/>
          <w:szCs w:val="32"/>
        </w:rPr>
        <w:t>安全保障。骨灰堂要严格落实安全责任制，加强安全防火防盗管理。要以满足殡葬服务为需求、杜绝安全责任事故为目标，强化日常安全管理。</w:t>
      </w:r>
    </w:p>
    <w:p>
      <w:pPr>
        <w:spacing w:line="560" w:lineRule="exact"/>
        <w:ind w:firstLine="640" w:firstLineChars="200"/>
        <w:rPr>
          <w:rFonts w:hint="eastAsia" w:ascii="仿宋_GB2312" w:hAnsi="仿宋" w:eastAsia="仿宋_GB2312"/>
          <w:sz w:val="32"/>
          <w:szCs w:val="32"/>
        </w:rPr>
      </w:pPr>
    </w:p>
    <w:p>
      <w:pPr>
        <w:spacing w:line="560" w:lineRule="exact"/>
        <w:jc w:val="center"/>
        <w:rPr>
          <w:rFonts w:hint="eastAsia" w:ascii="黑体" w:hAnsi="黑体" w:eastAsia="黑体"/>
          <w:sz w:val="32"/>
          <w:szCs w:val="32"/>
        </w:rPr>
      </w:pPr>
      <w:r>
        <w:rPr>
          <w:rFonts w:hint="eastAsia" w:ascii="黑体" w:hAnsi="黑体" w:eastAsia="黑体"/>
          <w:sz w:val="32"/>
          <w:szCs w:val="32"/>
        </w:rPr>
        <w:t>第三章 运营管理</w:t>
      </w:r>
    </w:p>
    <w:p>
      <w:pPr>
        <w:spacing w:line="560" w:lineRule="exact"/>
        <w:rPr>
          <w:rFonts w:hint="eastAsia" w:ascii="仿宋_GB2312" w:hAnsi="仿宋" w:eastAsia="仿宋_GB2312"/>
          <w:sz w:val="32"/>
          <w:szCs w:val="32"/>
        </w:rPr>
      </w:pPr>
      <w:r>
        <w:rPr>
          <w:rFonts w:hint="eastAsia" w:ascii="仿宋" w:hAnsi="仿宋" w:eastAsia="仿宋"/>
          <w:sz w:val="32"/>
          <w:szCs w:val="32"/>
        </w:rPr>
        <w:t xml:space="preserve">    </w:t>
      </w:r>
      <w:r>
        <w:rPr>
          <w:rFonts w:hint="eastAsia" w:ascii="楷体" w:hAnsi="楷体" w:eastAsia="楷体"/>
          <w:sz w:val="32"/>
          <w:szCs w:val="32"/>
        </w:rPr>
        <w:t>第八条</w:t>
      </w:r>
      <w:r>
        <w:rPr>
          <w:rFonts w:hint="eastAsia" w:ascii="仿宋" w:hAnsi="仿宋" w:eastAsia="仿宋"/>
          <w:sz w:val="32"/>
          <w:szCs w:val="32"/>
        </w:rPr>
        <w:t xml:space="preserve">  </w:t>
      </w:r>
      <w:r>
        <w:rPr>
          <w:rFonts w:hint="eastAsia" w:ascii="仿宋_GB2312" w:hAnsi="仿宋" w:eastAsia="仿宋_GB2312"/>
          <w:sz w:val="32"/>
          <w:szCs w:val="32"/>
        </w:rPr>
        <w:t>镇（街）作为骨灰堂属地管理主体单位，可通过指定本级管理团队直接管理。也可通过购买服务方式聘请第三方负责运营，但需报区民政部门备案，不得变相改变骨灰堂的公益性。</w:t>
      </w:r>
    </w:p>
    <w:p>
      <w:pPr>
        <w:spacing w:line="560" w:lineRule="exact"/>
        <w:rPr>
          <w:rFonts w:hint="eastAsia" w:ascii="仿宋_GB2312" w:hAnsi="仿宋" w:eastAsia="仿宋_GB2312"/>
          <w:sz w:val="32"/>
          <w:szCs w:val="32"/>
        </w:rPr>
      </w:pPr>
      <w:r>
        <w:rPr>
          <w:rFonts w:hint="eastAsia" w:ascii="仿宋" w:hAnsi="仿宋" w:eastAsia="仿宋"/>
          <w:sz w:val="32"/>
          <w:szCs w:val="32"/>
        </w:rPr>
        <w:t xml:space="preserve">    </w:t>
      </w:r>
      <w:r>
        <w:rPr>
          <w:rFonts w:hint="eastAsia" w:ascii="楷体" w:hAnsi="楷体" w:eastAsia="楷体"/>
          <w:sz w:val="32"/>
          <w:szCs w:val="32"/>
        </w:rPr>
        <w:t>第九条</w:t>
      </w:r>
      <w:r>
        <w:rPr>
          <w:rFonts w:hint="eastAsia" w:ascii="仿宋" w:hAnsi="仿宋" w:eastAsia="仿宋"/>
          <w:sz w:val="32"/>
          <w:szCs w:val="32"/>
        </w:rPr>
        <w:t xml:space="preserve">  </w:t>
      </w:r>
      <w:r>
        <w:rPr>
          <w:rFonts w:hint="eastAsia" w:ascii="仿宋_GB2312" w:hAnsi="仿宋" w:eastAsia="仿宋_GB2312"/>
          <w:sz w:val="32"/>
          <w:szCs w:val="32"/>
        </w:rPr>
        <w:t>骨灰堂应根据常住人口数、格位数等因素合理配备人员。</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楷体" w:hAnsi="楷体" w:eastAsia="楷体"/>
          <w:sz w:val="32"/>
          <w:szCs w:val="32"/>
        </w:rPr>
        <w:t>第十条</w:t>
      </w:r>
      <w:r>
        <w:rPr>
          <w:rFonts w:hint="eastAsia" w:ascii="仿宋" w:hAnsi="仿宋" w:eastAsia="仿宋"/>
          <w:sz w:val="32"/>
          <w:szCs w:val="32"/>
        </w:rPr>
        <w:t xml:space="preserve">  </w:t>
      </w:r>
      <w:r>
        <w:rPr>
          <w:rFonts w:hint="eastAsia" w:ascii="仿宋_GB2312" w:hAnsi="仿宋" w:eastAsia="仿宋_GB2312"/>
          <w:sz w:val="32"/>
          <w:szCs w:val="32"/>
        </w:rPr>
        <w:t>骨灰堂从业人员应当熟悉殡葬相关法律法规政策，熟练掌握业务技能，遵守操作规程和职业道德，提供规范、文明的服务。</w:t>
      </w:r>
    </w:p>
    <w:p>
      <w:pPr>
        <w:spacing w:line="560" w:lineRule="exact"/>
        <w:ind w:firstLine="640" w:firstLineChars="200"/>
        <w:rPr>
          <w:rFonts w:ascii="仿宋_GB2312" w:hAnsi="仿宋" w:eastAsia="仿宋_GB2312"/>
          <w:sz w:val="32"/>
          <w:szCs w:val="32"/>
        </w:rPr>
      </w:pPr>
      <w:r>
        <w:rPr>
          <w:rFonts w:hint="eastAsia" w:ascii="楷体" w:hAnsi="楷体" w:eastAsia="楷体"/>
          <w:sz w:val="32"/>
          <w:szCs w:val="32"/>
        </w:rPr>
        <w:t>第十一条</w:t>
      </w:r>
      <w:r>
        <w:rPr>
          <w:rFonts w:hint="eastAsia" w:ascii="仿宋" w:hAnsi="仿宋" w:eastAsia="仿宋"/>
          <w:sz w:val="32"/>
          <w:szCs w:val="32"/>
        </w:rPr>
        <w:t xml:space="preserve">  </w:t>
      </w:r>
      <w:r>
        <w:rPr>
          <w:rFonts w:hint="eastAsia" w:ascii="仿宋_GB2312" w:hAnsi="仿宋" w:eastAsia="仿宋_GB2312"/>
          <w:sz w:val="32"/>
          <w:szCs w:val="32"/>
        </w:rPr>
        <w:t>区民政部门应加强对骨灰堂从业人员在殡葬法律法规政策、业务技能、资料管理、消防安全等方面的培训。</w:t>
      </w:r>
    </w:p>
    <w:p>
      <w:pPr>
        <w:spacing w:line="560" w:lineRule="exact"/>
        <w:ind w:firstLine="640" w:firstLineChars="200"/>
        <w:rPr>
          <w:rFonts w:hint="eastAsia" w:ascii="仿宋" w:hAnsi="仿宋" w:eastAsia="仿宋"/>
          <w:sz w:val="32"/>
          <w:szCs w:val="32"/>
        </w:rPr>
      </w:pPr>
    </w:p>
    <w:p>
      <w:pPr>
        <w:spacing w:line="560" w:lineRule="exact"/>
        <w:jc w:val="center"/>
        <w:rPr>
          <w:rFonts w:hint="eastAsia" w:ascii="黑体" w:hAnsi="黑体" w:eastAsia="黑体"/>
          <w:sz w:val="32"/>
          <w:szCs w:val="32"/>
        </w:rPr>
      </w:pPr>
      <w:r>
        <w:rPr>
          <w:rFonts w:hint="eastAsia" w:ascii="黑体" w:hAnsi="黑体" w:eastAsia="黑体"/>
          <w:sz w:val="32"/>
          <w:szCs w:val="32"/>
        </w:rPr>
        <w:t>第四章  业务管理</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第十二条</w:t>
      </w:r>
      <w:r>
        <w:rPr>
          <w:rFonts w:hint="eastAsia" w:ascii="仿宋" w:hAnsi="仿宋" w:eastAsia="仿宋"/>
          <w:sz w:val="32"/>
          <w:szCs w:val="32"/>
        </w:rPr>
        <w:t xml:space="preserve">  </w:t>
      </w:r>
      <w:r>
        <w:rPr>
          <w:rFonts w:hint="eastAsia" w:ascii="仿宋_GB2312" w:hAnsi="仿宋" w:eastAsia="仿宋_GB2312"/>
          <w:sz w:val="32"/>
          <w:szCs w:val="32"/>
        </w:rPr>
        <w:t>骨灰堂必须严格按照南京市统一标准要求设置标识。积极营造既规范一致，又能体现各自特色的殡葬文化氛围。</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 xml:space="preserve">第十三条 </w:t>
      </w:r>
      <w:r>
        <w:rPr>
          <w:rFonts w:hint="eastAsia" w:ascii="仿宋" w:hAnsi="仿宋" w:eastAsia="仿宋"/>
          <w:sz w:val="32"/>
          <w:szCs w:val="32"/>
        </w:rPr>
        <w:t xml:space="preserve"> </w:t>
      </w:r>
      <w:r>
        <w:rPr>
          <w:rFonts w:hint="eastAsia" w:ascii="仿宋_GB2312" w:hAnsi="仿宋" w:eastAsia="仿宋_GB2312"/>
          <w:sz w:val="32"/>
          <w:szCs w:val="32"/>
        </w:rPr>
        <w:t>骨灰堂要建立规范的管理制度，并按规定抓好落实。</w:t>
      </w:r>
    </w:p>
    <w:p>
      <w:pPr>
        <w:pStyle w:val="6"/>
        <w:spacing w:before="0" w:beforeAutospacing="0" w:after="0" w:afterAutospacing="0" w:line="560" w:lineRule="exact"/>
        <w:ind w:left="1" w:firstLine="640" w:firstLineChars="200"/>
        <w:rPr>
          <w:rFonts w:hint="eastAsia" w:ascii="仿宋_GB2312" w:hAnsi="仿宋" w:eastAsia="仿宋_GB2312" w:cs="Times New Roman"/>
          <w:kern w:val="2"/>
          <w:sz w:val="32"/>
          <w:szCs w:val="32"/>
        </w:rPr>
      </w:pPr>
      <w:r>
        <w:rPr>
          <w:rFonts w:hint="eastAsia" w:ascii="楷体" w:hAnsi="楷体" w:eastAsia="楷体" w:cs="Times New Roman"/>
          <w:sz w:val="32"/>
          <w:szCs w:val="32"/>
        </w:rPr>
        <w:t>第十四条</w:t>
      </w:r>
      <w:r>
        <w:rPr>
          <w:rFonts w:hint="eastAsia" w:ascii="仿宋" w:hAnsi="仿宋" w:eastAsia="仿宋" w:cs="Times New Roman"/>
          <w:sz w:val="32"/>
          <w:szCs w:val="32"/>
        </w:rPr>
        <w:t xml:space="preserve">  </w:t>
      </w:r>
      <w:r>
        <w:rPr>
          <w:rFonts w:hint="eastAsia" w:ascii="仿宋_GB2312" w:hAnsi="仿宋" w:eastAsia="仿宋_GB2312" w:cs="Times New Roman"/>
          <w:kern w:val="2"/>
          <w:sz w:val="32"/>
          <w:szCs w:val="32"/>
        </w:rPr>
        <w:t>骨灰存放格位统一按照《南京市骨灰堂存放格位编码规则》编码，确保规范、标准、精确。骨灰存放、迁出实行实名制管理，严禁预定骨灰存放格位（为逝者健在配偶留作合放的格位除外）。</w:t>
      </w:r>
    </w:p>
    <w:p>
      <w:pPr>
        <w:pStyle w:val="6"/>
        <w:spacing w:before="0" w:beforeAutospacing="0" w:after="0" w:afterAutospacing="0" w:line="560" w:lineRule="exact"/>
        <w:ind w:left="1" w:firstLine="640" w:firstLineChars="200"/>
        <w:rPr>
          <w:rFonts w:hint="eastAsia" w:ascii="仿宋_GB2312" w:hAnsi="仿宋" w:eastAsia="仿宋_GB2312" w:cs="Times New Roman"/>
          <w:kern w:val="2"/>
          <w:sz w:val="32"/>
          <w:szCs w:val="32"/>
        </w:rPr>
      </w:pPr>
      <w:r>
        <w:rPr>
          <w:rFonts w:hint="eastAsia" w:ascii="仿宋_GB2312" w:hAnsi="仿宋" w:eastAsia="仿宋_GB2312" w:cs="Times New Roman"/>
          <w:kern w:val="2"/>
          <w:sz w:val="32"/>
          <w:szCs w:val="32"/>
        </w:rPr>
        <w:t>骨灰存放格位选定坚持一次性选号原则。格位一经选定，不得更改。严禁私自转让和调换使用。骨灰一经迁出，原存放格位不予保留。</w:t>
      </w:r>
    </w:p>
    <w:p>
      <w:pPr>
        <w:spacing w:line="560" w:lineRule="exact"/>
        <w:ind w:firstLine="600"/>
        <w:rPr>
          <w:rFonts w:hint="eastAsia" w:ascii="仿宋" w:hAnsi="仿宋" w:eastAsia="仿宋"/>
          <w:sz w:val="32"/>
          <w:szCs w:val="32"/>
        </w:rPr>
      </w:pPr>
      <w:r>
        <w:rPr>
          <w:rFonts w:hint="eastAsia" w:ascii="楷体" w:hAnsi="楷体" w:eastAsia="楷体"/>
          <w:sz w:val="32"/>
          <w:szCs w:val="32"/>
        </w:rPr>
        <w:t>第十五条</w:t>
      </w:r>
      <w:r>
        <w:rPr>
          <w:rFonts w:hint="eastAsia" w:ascii="仿宋" w:hAnsi="仿宋" w:eastAsia="仿宋"/>
          <w:sz w:val="32"/>
          <w:szCs w:val="32"/>
        </w:rPr>
        <w:t xml:space="preserve">  </w:t>
      </w:r>
      <w:r>
        <w:rPr>
          <w:rFonts w:hint="eastAsia" w:ascii="仿宋_GB2312" w:hAnsi="仿宋" w:eastAsia="仿宋_GB2312"/>
          <w:sz w:val="32"/>
          <w:szCs w:val="32"/>
        </w:rPr>
        <w:t>拆迁坟墓及散坟整治中产生的骨灰（遗骸），须经烘干、装盒、密封等专业处理后，方可存放至骨灰堂。</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第十六条</w:t>
      </w:r>
      <w:r>
        <w:rPr>
          <w:rFonts w:hint="eastAsia" w:ascii="仿宋" w:hAnsi="仿宋" w:eastAsia="仿宋"/>
          <w:sz w:val="32"/>
          <w:szCs w:val="32"/>
        </w:rPr>
        <w:t xml:space="preserve">  </w:t>
      </w:r>
      <w:r>
        <w:rPr>
          <w:rFonts w:hint="eastAsia" w:ascii="仿宋_GB2312" w:hAnsi="仿宋" w:eastAsia="仿宋_GB2312"/>
          <w:sz w:val="32"/>
          <w:szCs w:val="32"/>
        </w:rPr>
        <w:t>亲属持《骨灰安放证》，有序入室祭扫。严禁取出骨灰盒祭拜或进行封建迷信活动，禁止在室内焚烧祭祀物品，禁止在格位中摆放贵重物品及易腐烂、变质的祭品等，禁止在指定区域外的场地焚烧祭祀物品，倡导鞠躬、默哀、献花、填写祈福卡等低碳文明的祭祀方式。</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第十七条</w:t>
      </w:r>
      <w:r>
        <w:rPr>
          <w:rFonts w:hint="eastAsia" w:ascii="仿宋" w:hAnsi="仿宋" w:eastAsia="仿宋"/>
          <w:sz w:val="32"/>
          <w:szCs w:val="32"/>
        </w:rPr>
        <w:t xml:space="preserve">  </w:t>
      </w:r>
      <w:r>
        <w:rPr>
          <w:rFonts w:hint="eastAsia" w:ascii="仿宋_GB2312" w:hAnsi="仿宋" w:eastAsia="仿宋_GB2312"/>
          <w:sz w:val="32"/>
          <w:szCs w:val="32"/>
        </w:rPr>
        <w:t>建立信息管理系统，实现骨灰堂信息数据联网。骨灰格位的档案管理实行“一格位一档案”制度，包含存放和迁出所有资料，骨灰堂应安排专人妥善保管纸质档案并做好电子档案的备份，确保档案信息长期有效。</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第十八条</w:t>
      </w:r>
      <w:r>
        <w:rPr>
          <w:rFonts w:hint="eastAsia" w:ascii="仿宋" w:hAnsi="仿宋" w:eastAsia="仿宋"/>
          <w:sz w:val="32"/>
          <w:szCs w:val="32"/>
        </w:rPr>
        <w:t xml:space="preserve">  </w:t>
      </w:r>
      <w:r>
        <w:rPr>
          <w:rFonts w:hint="eastAsia" w:ascii="仿宋_GB2312" w:hAnsi="仿宋" w:eastAsia="仿宋_GB2312"/>
          <w:sz w:val="32"/>
          <w:szCs w:val="32"/>
        </w:rPr>
        <w:t>骨灰堂要合理设置骨灰存放区、祭悼区、工作区等场所，要在明显位置设置告示牌、宣传牌、道路指示牌、警示牌等标识，方便群众祭扫。</w:t>
      </w:r>
    </w:p>
    <w:p>
      <w:pPr>
        <w:shd w:val="clear" w:color="auto" w:fill="FFFFFF"/>
        <w:spacing w:line="560" w:lineRule="exact"/>
        <w:ind w:firstLine="640" w:firstLineChars="200"/>
        <w:rPr>
          <w:rFonts w:hint="eastAsia" w:ascii="仿宋_GB2312" w:hAnsi="仿宋" w:eastAsia="仿宋_GB2312"/>
          <w:sz w:val="32"/>
          <w:szCs w:val="32"/>
        </w:rPr>
      </w:pPr>
      <w:r>
        <w:rPr>
          <w:rFonts w:hint="eastAsia" w:ascii="楷体" w:hAnsi="楷体" w:eastAsia="楷体" w:cs="黑体"/>
          <w:sz w:val="32"/>
          <w:szCs w:val="32"/>
        </w:rPr>
        <w:t>第十九条</w:t>
      </w:r>
      <w:r>
        <w:rPr>
          <w:rFonts w:hint="eastAsia" w:ascii="仿宋" w:hAnsi="仿宋" w:eastAsia="仿宋"/>
          <w:sz w:val="32"/>
          <w:szCs w:val="32"/>
        </w:rPr>
        <w:t xml:space="preserve">  </w:t>
      </w:r>
      <w:r>
        <w:rPr>
          <w:rFonts w:hint="eastAsia" w:ascii="仿宋_GB2312" w:hAnsi="仿宋" w:eastAsia="仿宋_GB2312"/>
          <w:sz w:val="32"/>
          <w:szCs w:val="32"/>
        </w:rPr>
        <w:t>符合以下条件之一的，骨灰可免费存放在骨灰堂：</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（一）本镇（街）户籍的逝者；</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（二）户籍不在本镇（街）但其原籍在本镇（街）的逝者；</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（三）户籍不在本镇（街）但其配偶、父母或子女户籍在本镇（街）的逝者；</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（四）本镇（街）辖区内散坟平迁的逝者。</w:t>
      </w:r>
    </w:p>
    <w:p>
      <w:pPr>
        <w:shd w:val="clear" w:color="auto" w:fill="FFFFFF"/>
        <w:spacing w:line="560" w:lineRule="exact"/>
        <w:ind w:firstLine="640" w:firstLineChars="200"/>
        <w:rPr>
          <w:rFonts w:hint="eastAsia" w:ascii="仿宋_GB2312" w:hAnsi="仿宋" w:eastAsia="仿宋_GB2312"/>
          <w:sz w:val="32"/>
          <w:szCs w:val="32"/>
        </w:rPr>
      </w:pPr>
      <w:r>
        <w:rPr>
          <w:rFonts w:hint="eastAsia" w:ascii="楷体" w:hAnsi="楷体" w:eastAsia="楷体" w:cs="黑体"/>
          <w:sz w:val="32"/>
          <w:szCs w:val="32"/>
        </w:rPr>
        <w:t>第二十条</w:t>
      </w:r>
      <w:r>
        <w:rPr>
          <w:rFonts w:hint="eastAsia" w:ascii="仿宋" w:hAnsi="仿宋" w:eastAsia="仿宋"/>
          <w:sz w:val="32"/>
          <w:szCs w:val="32"/>
        </w:rPr>
        <w:t xml:space="preserve"> </w:t>
      </w:r>
      <w:r>
        <w:rPr>
          <w:rFonts w:hint="eastAsia" w:ascii="仿宋" w:hAnsi="仿宋" w:eastAsia="仿宋" w:cs="仿宋_GB2312"/>
          <w:sz w:val="32"/>
          <w:szCs w:val="32"/>
        </w:rPr>
        <w:t xml:space="preserve"> </w:t>
      </w:r>
      <w:r>
        <w:rPr>
          <w:rFonts w:hint="eastAsia" w:ascii="仿宋_GB2312" w:hAnsi="仿宋" w:eastAsia="仿宋_GB2312"/>
          <w:sz w:val="32"/>
          <w:szCs w:val="32"/>
        </w:rPr>
        <w:t>骨灰存放由逝者亲属持本人身份证、逝者户籍证明、死亡证明（火化证明或迁坟证明）、骨灰流向单，到相关骨灰堂办理存放手续。</w:t>
      </w:r>
    </w:p>
    <w:p>
      <w:pPr>
        <w:shd w:val="clear" w:color="auto" w:fill="FFFFFF"/>
        <w:spacing w:line="560" w:lineRule="exact"/>
        <w:ind w:firstLine="640" w:firstLineChars="200"/>
        <w:rPr>
          <w:rFonts w:hint="eastAsia" w:ascii="仿宋_GB2312" w:hAnsi="仿宋" w:eastAsia="仿宋_GB2312"/>
          <w:sz w:val="32"/>
          <w:szCs w:val="32"/>
        </w:rPr>
      </w:pPr>
      <w:r>
        <w:rPr>
          <w:rFonts w:hint="eastAsia" w:ascii="楷体" w:hAnsi="楷体" w:eastAsia="楷体" w:cs="黑体"/>
          <w:sz w:val="32"/>
          <w:szCs w:val="32"/>
        </w:rPr>
        <w:t xml:space="preserve">第二十一条 </w:t>
      </w:r>
      <w:r>
        <w:rPr>
          <w:rFonts w:hint="eastAsia" w:ascii="仿宋" w:hAnsi="仿宋" w:eastAsia="仿宋"/>
          <w:sz w:val="32"/>
          <w:szCs w:val="32"/>
        </w:rPr>
        <w:t xml:space="preserve"> </w:t>
      </w:r>
      <w:r>
        <w:rPr>
          <w:rFonts w:hint="eastAsia" w:ascii="仿宋_GB2312" w:hAnsi="仿宋" w:eastAsia="仿宋_GB2312"/>
          <w:sz w:val="32"/>
          <w:szCs w:val="32"/>
        </w:rPr>
        <w:t>骨灰存放程序：</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（一）逝者亲属填写《骨灰存放申请单》；</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（二）逝者亲属按规定程序选择骨灰存放位置；</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（三）逝者亲属与骨灰堂管理方签订《骨灰存放协议书》，一式两份，骨灰堂管理方和逝者亲属各留存一份；</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（四）逝者亲属领取统一印制的《骨灰安放证》；</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（五）逝者亲属凭《骨灰安放证》将骨灰放入选定的格位。</w:t>
      </w:r>
    </w:p>
    <w:p>
      <w:pPr>
        <w:shd w:val="clear" w:color="auto" w:fill="FFFFFF"/>
        <w:spacing w:line="560" w:lineRule="exact"/>
        <w:ind w:firstLine="640" w:firstLineChars="200"/>
        <w:rPr>
          <w:rFonts w:hint="eastAsia" w:ascii="仿宋_GB2312" w:hAnsi="仿宋" w:eastAsia="仿宋_GB2312"/>
          <w:sz w:val="32"/>
          <w:szCs w:val="32"/>
        </w:rPr>
      </w:pPr>
      <w:r>
        <w:rPr>
          <w:rFonts w:hint="eastAsia" w:ascii="楷体" w:hAnsi="楷体" w:eastAsia="楷体" w:cs="黑体"/>
          <w:sz w:val="32"/>
          <w:szCs w:val="32"/>
        </w:rPr>
        <w:t>第二十二条</w:t>
      </w:r>
      <w:r>
        <w:rPr>
          <w:rFonts w:hint="eastAsia" w:ascii="仿宋" w:hAnsi="仿宋" w:eastAsia="仿宋" w:cs="仿宋_GB2312"/>
          <w:sz w:val="32"/>
          <w:szCs w:val="32"/>
        </w:rPr>
        <w:t xml:space="preserve">  </w:t>
      </w:r>
      <w:r>
        <w:rPr>
          <w:rFonts w:hint="eastAsia" w:ascii="仿宋_GB2312" w:hAnsi="仿宋" w:eastAsia="仿宋_GB2312"/>
          <w:sz w:val="32"/>
          <w:szCs w:val="32"/>
        </w:rPr>
        <w:t>骨灰存放期为20年。存放期满后，骨灰堂管理方应通知逝者亲属持《骨灰安放证》或《骨灰存放协议书》前往骨灰堂办理续存手续。逾期6个月仍未办理续存手续的，视为亲属放弃该设施及存放物的全部权益，骨灰堂管理方将按生态葬方式进行处理。</w:t>
      </w:r>
    </w:p>
    <w:p>
      <w:pPr>
        <w:spacing w:line="560" w:lineRule="exact"/>
        <w:ind w:firstLine="640" w:firstLineChars="200"/>
        <w:rPr>
          <w:rFonts w:hint="eastAsia" w:ascii="仿宋_GB2312" w:hAnsi="仿宋" w:eastAsia="仿宋_GB2312"/>
          <w:sz w:val="32"/>
          <w:szCs w:val="32"/>
        </w:rPr>
      </w:pPr>
      <w:r>
        <w:rPr>
          <w:rFonts w:hint="eastAsia" w:ascii="楷体" w:hAnsi="楷体" w:eastAsia="楷体" w:cs="黑体"/>
          <w:sz w:val="32"/>
          <w:szCs w:val="32"/>
        </w:rPr>
        <w:t>第二十三条</w:t>
      </w:r>
      <w:r>
        <w:rPr>
          <w:rFonts w:hint="eastAsia" w:ascii="仿宋" w:hAnsi="仿宋" w:eastAsia="仿宋" w:cs="仿宋_GB2312"/>
          <w:sz w:val="32"/>
          <w:szCs w:val="32"/>
        </w:rPr>
        <w:t xml:space="preserve"> </w:t>
      </w:r>
      <w:r>
        <w:rPr>
          <w:rFonts w:hint="eastAsia" w:ascii="仿宋_GB2312" w:hAnsi="仿宋" w:eastAsia="仿宋_GB2312"/>
          <w:sz w:val="32"/>
          <w:szCs w:val="32"/>
        </w:rPr>
        <w:t>《骨灰安放证》不得涂改，遗失后须由逝者亲属持本人身份证等材料挂失补办，原存放证自动失效。</w:t>
      </w:r>
    </w:p>
    <w:p>
      <w:pPr>
        <w:spacing w:line="560" w:lineRule="exact"/>
        <w:ind w:firstLine="640" w:firstLineChars="200"/>
        <w:rPr>
          <w:rFonts w:hint="eastAsia" w:ascii="仿宋_GB2312" w:hAnsi="仿宋" w:eastAsia="仿宋_GB2312"/>
          <w:sz w:val="32"/>
          <w:szCs w:val="32"/>
        </w:rPr>
      </w:pPr>
      <w:r>
        <w:rPr>
          <w:rFonts w:hint="eastAsia" w:ascii="楷体" w:hAnsi="楷体" w:eastAsia="楷体" w:cs="黑体"/>
          <w:sz w:val="32"/>
          <w:szCs w:val="32"/>
        </w:rPr>
        <w:t>第二十四条</w:t>
      </w:r>
      <w:r>
        <w:rPr>
          <w:rFonts w:hint="eastAsia" w:ascii="仿宋" w:hAnsi="仿宋" w:eastAsia="仿宋" w:cs="仿宋_GB2312"/>
          <w:sz w:val="32"/>
          <w:szCs w:val="32"/>
        </w:rPr>
        <w:t xml:space="preserve">  </w:t>
      </w:r>
      <w:r>
        <w:rPr>
          <w:rFonts w:hint="eastAsia" w:ascii="仿宋_GB2312" w:hAnsi="仿宋" w:eastAsia="仿宋_GB2312"/>
          <w:sz w:val="32"/>
          <w:szCs w:val="32"/>
        </w:rPr>
        <w:t>骨灰迁出由逝者亲属提出申请，持本人身份证、《骨灰安放证》以及合规的骨灰接收单位开具的骨灰去向证明办理。</w:t>
      </w:r>
    </w:p>
    <w:p>
      <w:pPr>
        <w:spacing w:line="560" w:lineRule="exact"/>
        <w:ind w:firstLine="640" w:firstLineChars="200"/>
        <w:rPr>
          <w:rFonts w:hint="eastAsia" w:ascii="仿宋_GB2312" w:hAnsi="仿宋" w:eastAsia="仿宋_GB2312"/>
          <w:sz w:val="32"/>
          <w:szCs w:val="32"/>
        </w:rPr>
      </w:pPr>
      <w:r>
        <w:rPr>
          <w:rFonts w:hint="eastAsia" w:ascii="楷体" w:hAnsi="楷体" w:eastAsia="楷体" w:cs="黑体"/>
          <w:sz w:val="32"/>
          <w:szCs w:val="32"/>
        </w:rPr>
        <w:t>第二十五条</w:t>
      </w:r>
      <w:r>
        <w:rPr>
          <w:rFonts w:hint="eastAsia" w:ascii="仿宋" w:hAnsi="仿宋" w:eastAsia="仿宋" w:cs="仿宋_GB2312"/>
          <w:sz w:val="32"/>
          <w:szCs w:val="32"/>
        </w:rPr>
        <w:t xml:space="preserve">  </w:t>
      </w:r>
      <w:r>
        <w:rPr>
          <w:rFonts w:hint="eastAsia" w:ascii="仿宋_GB2312" w:hAnsi="仿宋" w:eastAsia="仿宋_GB2312"/>
          <w:sz w:val="32"/>
          <w:szCs w:val="32"/>
        </w:rPr>
        <w:t>骨灰迁出程序：</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（一）逝者亲属填写《骨灰迁出申请单》，工作人员核对相关信息和证明材料；</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（二）工作人员核对无误后，陪同申请人取出格位内骨灰盒，并由申请人在申请单上签字确认；</w:t>
      </w:r>
    </w:p>
    <w:p>
      <w:pPr>
        <w:shd w:val="clear" w:color="auto" w:fill="FFFFFF"/>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（三）申请人交回《骨灰安放证》，原《骨灰存放协议书》自动解除；</w:t>
      </w:r>
    </w:p>
    <w:p>
      <w:pPr>
        <w:shd w:val="clear" w:color="auto" w:fill="FFFFFF"/>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（四）工作人员发放《出门证》，申请人凭《出门证》出门。</w:t>
      </w:r>
    </w:p>
    <w:p>
      <w:pPr>
        <w:shd w:val="clear" w:color="auto" w:fill="FFFFFF"/>
        <w:spacing w:line="560" w:lineRule="exact"/>
        <w:ind w:firstLine="640" w:firstLineChars="200"/>
        <w:rPr>
          <w:rFonts w:hint="eastAsia" w:ascii="仿宋_GB2312" w:hAnsi="仿宋" w:eastAsia="仿宋_GB2312"/>
          <w:sz w:val="32"/>
          <w:szCs w:val="32"/>
        </w:rPr>
      </w:pPr>
    </w:p>
    <w:p>
      <w:pPr>
        <w:spacing w:line="560" w:lineRule="exact"/>
        <w:jc w:val="center"/>
        <w:rPr>
          <w:rFonts w:hint="eastAsia" w:ascii="黑体" w:hAnsi="黑体" w:eastAsia="黑体"/>
          <w:sz w:val="32"/>
          <w:szCs w:val="32"/>
        </w:rPr>
      </w:pPr>
      <w:r>
        <w:rPr>
          <w:rFonts w:hint="eastAsia" w:ascii="黑体" w:hAnsi="黑体" w:eastAsia="黑体"/>
          <w:sz w:val="32"/>
          <w:szCs w:val="32"/>
        </w:rPr>
        <w:t>第五章  安全管理</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第二十六条</w:t>
      </w:r>
      <w:r>
        <w:rPr>
          <w:rFonts w:hint="eastAsia" w:ascii="仿宋" w:hAnsi="仿宋" w:eastAsia="仿宋"/>
          <w:sz w:val="32"/>
          <w:szCs w:val="32"/>
        </w:rPr>
        <w:t xml:space="preserve">  </w:t>
      </w:r>
      <w:r>
        <w:rPr>
          <w:rFonts w:hint="eastAsia" w:ascii="仿宋_GB2312" w:hAnsi="仿宋" w:eastAsia="仿宋_GB2312"/>
          <w:sz w:val="32"/>
          <w:szCs w:val="32"/>
        </w:rPr>
        <w:t>制定各类应急预案，做好安全隐患排查和防范工作，定期开展安全检查和安全演练。</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 xml:space="preserve">第二十七条 </w:t>
      </w:r>
      <w:r>
        <w:rPr>
          <w:rFonts w:hint="eastAsia" w:ascii="仿宋" w:hAnsi="仿宋" w:eastAsia="仿宋"/>
          <w:sz w:val="32"/>
          <w:szCs w:val="32"/>
        </w:rPr>
        <w:t xml:space="preserve"> </w:t>
      </w:r>
      <w:r>
        <w:rPr>
          <w:rFonts w:hint="eastAsia" w:ascii="仿宋_GB2312" w:hAnsi="仿宋" w:eastAsia="仿宋_GB2312"/>
          <w:sz w:val="32"/>
          <w:szCs w:val="32"/>
        </w:rPr>
        <w:t>骨灰堂应配齐消防器材，安装防盗、通风等设施，在重点区域安装监控设备。</w:t>
      </w:r>
    </w:p>
    <w:p>
      <w:pPr>
        <w:spacing w:line="560" w:lineRule="exact"/>
        <w:ind w:firstLine="640"/>
        <w:rPr>
          <w:rFonts w:ascii="仿宋_GB2312" w:hAnsi="仿宋" w:eastAsia="仿宋_GB2312"/>
          <w:sz w:val="32"/>
          <w:szCs w:val="32"/>
        </w:rPr>
      </w:pPr>
      <w:r>
        <w:rPr>
          <w:rFonts w:hint="eastAsia" w:ascii="楷体" w:hAnsi="楷体" w:eastAsia="楷体"/>
          <w:sz w:val="32"/>
          <w:szCs w:val="32"/>
        </w:rPr>
        <w:t xml:space="preserve">第二十八条 </w:t>
      </w:r>
      <w:r>
        <w:rPr>
          <w:rFonts w:hint="eastAsia" w:ascii="仿宋" w:hAnsi="仿宋" w:eastAsia="仿宋"/>
          <w:sz w:val="32"/>
          <w:szCs w:val="32"/>
        </w:rPr>
        <w:t xml:space="preserve"> </w:t>
      </w:r>
      <w:r>
        <w:rPr>
          <w:rFonts w:hint="eastAsia" w:ascii="仿宋_GB2312" w:hAnsi="仿宋" w:eastAsia="仿宋_GB2312"/>
          <w:sz w:val="32"/>
          <w:szCs w:val="32"/>
        </w:rPr>
        <w:t>在除夕、清明、冬至等祭扫高峰期间，镇（街）应落实专项应急预案，做好人力、物力、财力保障，确保群众祭扫安全，杜绝各类安全责任事故的发生。</w:t>
      </w:r>
    </w:p>
    <w:p>
      <w:pPr>
        <w:spacing w:line="560" w:lineRule="exact"/>
        <w:ind w:firstLine="640"/>
        <w:rPr>
          <w:rFonts w:hint="eastAsia" w:ascii="仿宋_GB2312" w:hAnsi="仿宋" w:eastAsia="仿宋_GB2312"/>
          <w:sz w:val="32"/>
          <w:szCs w:val="32"/>
        </w:rPr>
      </w:pPr>
    </w:p>
    <w:p>
      <w:pPr>
        <w:spacing w:line="560" w:lineRule="exact"/>
        <w:jc w:val="center"/>
        <w:rPr>
          <w:rFonts w:hint="eastAsia" w:ascii="黑体" w:hAnsi="黑体" w:eastAsia="黑体"/>
          <w:sz w:val="32"/>
          <w:szCs w:val="32"/>
        </w:rPr>
      </w:pPr>
      <w:r>
        <w:rPr>
          <w:rFonts w:hint="eastAsia" w:ascii="黑体" w:hAnsi="黑体" w:eastAsia="黑体"/>
          <w:sz w:val="32"/>
          <w:szCs w:val="32"/>
        </w:rPr>
        <w:t>第六章  行风管理</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第二十九条</w:t>
      </w:r>
      <w:r>
        <w:rPr>
          <w:rFonts w:hint="eastAsia" w:ascii="仿宋" w:hAnsi="仿宋" w:eastAsia="仿宋"/>
          <w:sz w:val="32"/>
          <w:szCs w:val="32"/>
        </w:rPr>
        <w:t xml:space="preserve">  </w:t>
      </w:r>
      <w:r>
        <w:rPr>
          <w:rFonts w:hint="eastAsia" w:ascii="仿宋_GB2312" w:hAnsi="仿宋" w:eastAsia="仿宋_GB2312"/>
          <w:sz w:val="32"/>
          <w:szCs w:val="32"/>
        </w:rPr>
        <w:t>区民政部门将骨灰堂行风建设纳入镇（街）年度目标考核。</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第三十条</w:t>
      </w:r>
      <w:r>
        <w:rPr>
          <w:rFonts w:hint="eastAsia" w:ascii="仿宋" w:hAnsi="仿宋" w:eastAsia="仿宋"/>
          <w:sz w:val="32"/>
          <w:szCs w:val="32"/>
        </w:rPr>
        <w:t xml:space="preserve">  </w:t>
      </w:r>
      <w:r>
        <w:rPr>
          <w:rFonts w:hint="eastAsia" w:ascii="仿宋_GB2312" w:hAnsi="仿宋" w:eastAsia="仿宋_GB2312"/>
          <w:sz w:val="32"/>
          <w:szCs w:val="32"/>
        </w:rPr>
        <w:t>骨灰堂工作人员应恪守职业道德，举止文明，用语规范，廉洁守纪。对工作中滥用职权、玩忽职守、徇私舞弊、以权谋私的行为，依法依规追究相关责任；构成犯罪的，依法追究刑事责任。</w:t>
      </w:r>
    </w:p>
    <w:p>
      <w:pPr>
        <w:spacing w:line="560" w:lineRule="exact"/>
        <w:ind w:firstLine="640" w:firstLineChars="200"/>
        <w:rPr>
          <w:rFonts w:ascii="仿宋_GB2312" w:hAnsi="仿宋" w:eastAsia="仿宋_GB2312"/>
          <w:sz w:val="32"/>
          <w:szCs w:val="32"/>
        </w:rPr>
      </w:pPr>
      <w:r>
        <w:rPr>
          <w:rFonts w:hint="eastAsia" w:ascii="楷体" w:hAnsi="楷体" w:eastAsia="楷体"/>
          <w:sz w:val="32"/>
          <w:szCs w:val="32"/>
        </w:rPr>
        <w:t>第三十一条</w:t>
      </w:r>
      <w:r>
        <w:rPr>
          <w:rFonts w:hint="eastAsia" w:ascii="仿宋" w:hAnsi="仿宋" w:eastAsia="仿宋"/>
          <w:sz w:val="32"/>
          <w:szCs w:val="32"/>
        </w:rPr>
        <w:t xml:space="preserve">  </w:t>
      </w:r>
      <w:r>
        <w:rPr>
          <w:rFonts w:hint="eastAsia" w:ascii="仿宋_GB2312" w:hAnsi="仿宋" w:eastAsia="仿宋_GB2312"/>
          <w:sz w:val="32"/>
          <w:szCs w:val="32"/>
        </w:rPr>
        <w:t>骨灰堂应自觉接受社会监督，畅通群众投诉渠道，设立举报监督电话。</w:t>
      </w:r>
    </w:p>
    <w:p>
      <w:pPr>
        <w:spacing w:line="560" w:lineRule="exact"/>
        <w:ind w:firstLine="640" w:firstLineChars="200"/>
        <w:rPr>
          <w:rFonts w:hint="eastAsia" w:ascii="仿宋" w:hAnsi="仿宋" w:eastAsia="仿宋"/>
          <w:sz w:val="32"/>
          <w:szCs w:val="32"/>
        </w:rPr>
      </w:pPr>
    </w:p>
    <w:p>
      <w:pPr>
        <w:spacing w:line="560" w:lineRule="exact"/>
        <w:jc w:val="center"/>
        <w:rPr>
          <w:rFonts w:hint="eastAsia" w:ascii="黑体" w:hAnsi="黑体" w:eastAsia="黑体"/>
          <w:sz w:val="32"/>
          <w:szCs w:val="32"/>
        </w:rPr>
      </w:pPr>
      <w:r>
        <w:rPr>
          <w:rFonts w:hint="eastAsia" w:ascii="黑体" w:hAnsi="黑体" w:eastAsia="黑体"/>
          <w:sz w:val="32"/>
          <w:szCs w:val="32"/>
        </w:rPr>
        <w:t>第七章  奖惩制度</w:t>
      </w:r>
    </w:p>
    <w:p>
      <w:pPr>
        <w:spacing w:line="560" w:lineRule="exact"/>
        <w:ind w:firstLine="600"/>
        <w:rPr>
          <w:rFonts w:hint="eastAsia" w:ascii="仿宋_GB2312" w:hAnsi="仿宋" w:eastAsia="仿宋_GB2312"/>
          <w:sz w:val="32"/>
          <w:szCs w:val="32"/>
        </w:rPr>
      </w:pPr>
      <w:r>
        <w:rPr>
          <w:rFonts w:hint="eastAsia" w:ascii="楷体" w:hAnsi="楷体" w:eastAsia="楷体"/>
          <w:sz w:val="32"/>
          <w:szCs w:val="32"/>
        </w:rPr>
        <w:t>第三十二条</w:t>
      </w:r>
      <w:r>
        <w:rPr>
          <w:rFonts w:hint="eastAsia" w:ascii="仿宋" w:hAnsi="仿宋" w:eastAsia="仿宋"/>
          <w:sz w:val="32"/>
          <w:szCs w:val="32"/>
        </w:rPr>
        <w:t xml:space="preserve">  </w:t>
      </w:r>
      <w:r>
        <w:rPr>
          <w:rFonts w:hint="eastAsia" w:ascii="仿宋_GB2312" w:hAnsi="仿宋" w:eastAsia="仿宋_GB2312"/>
          <w:sz w:val="32"/>
          <w:szCs w:val="32"/>
        </w:rPr>
        <w:t>区民政部门制定骨灰堂考核管理办法，每年组织考核评估。</w:t>
      </w:r>
    </w:p>
    <w:p>
      <w:pPr>
        <w:spacing w:line="560" w:lineRule="exact"/>
        <w:ind w:firstLine="600"/>
        <w:rPr>
          <w:rFonts w:hint="eastAsia" w:ascii="仿宋" w:hAnsi="仿宋" w:eastAsia="仿宋"/>
          <w:sz w:val="32"/>
          <w:szCs w:val="32"/>
        </w:rPr>
      </w:pPr>
      <w:r>
        <w:rPr>
          <w:rFonts w:hint="eastAsia" w:ascii="楷体" w:hAnsi="楷体" w:eastAsia="楷体"/>
          <w:sz w:val="32"/>
          <w:szCs w:val="32"/>
        </w:rPr>
        <w:t>第三十三条</w:t>
      </w:r>
      <w:r>
        <w:rPr>
          <w:rFonts w:hint="eastAsia" w:ascii="仿宋" w:hAnsi="仿宋" w:eastAsia="仿宋"/>
          <w:sz w:val="32"/>
          <w:szCs w:val="32"/>
        </w:rPr>
        <w:t xml:space="preserve">  </w:t>
      </w:r>
      <w:r>
        <w:rPr>
          <w:rFonts w:hint="eastAsia" w:ascii="仿宋_GB2312" w:hAnsi="仿宋" w:eastAsia="仿宋_GB2312"/>
          <w:sz w:val="32"/>
          <w:szCs w:val="32"/>
        </w:rPr>
        <w:t>骨灰堂日常管理考评，应坚持实事求是、客观公正、科学合理、注重实效、公开透明、奖惩分明的原则。</w:t>
      </w:r>
    </w:p>
    <w:p>
      <w:pPr>
        <w:spacing w:line="560" w:lineRule="exact"/>
        <w:ind w:firstLine="600"/>
        <w:rPr>
          <w:rFonts w:ascii="仿宋_GB2312" w:hAnsi="仿宋" w:eastAsia="仿宋_GB2312"/>
          <w:sz w:val="32"/>
          <w:szCs w:val="32"/>
        </w:rPr>
      </w:pPr>
      <w:r>
        <w:rPr>
          <w:rFonts w:hint="eastAsia" w:ascii="楷体" w:hAnsi="楷体" w:eastAsia="楷体"/>
          <w:sz w:val="32"/>
          <w:szCs w:val="32"/>
        </w:rPr>
        <w:t xml:space="preserve">第三十四条 </w:t>
      </w:r>
      <w:r>
        <w:rPr>
          <w:rFonts w:hint="eastAsia" w:ascii="仿宋" w:hAnsi="仿宋" w:eastAsia="仿宋"/>
          <w:sz w:val="32"/>
          <w:szCs w:val="32"/>
        </w:rPr>
        <w:t xml:space="preserve"> </w:t>
      </w:r>
      <w:r>
        <w:rPr>
          <w:rFonts w:hint="eastAsia" w:ascii="仿宋_GB2312" w:hAnsi="仿宋" w:eastAsia="仿宋_GB2312"/>
          <w:sz w:val="32"/>
          <w:szCs w:val="32"/>
        </w:rPr>
        <w:t>对年度考核合格的骨灰堂，落实市级财政管理运行资金补助政策和区级配套奖励政策。对不合格的将责成整改并相应扣减当年市、区财政奖补配套资金。</w:t>
      </w:r>
    </w:p>
    <w:p>
      <w:pPr>
        <w:spacing w:line="560" w:lineRule="exact"/>
        <w:ind w:firstLine="600"/>
        <w:rPr>
          <w:rFonts w:hint="eastAsia" w:ascii="仿宋_GB2312" w:hAnsi="仿宋" w:eastAsia="仿宋_GB2312"/>
          <w:sz w:val="32"/>
          <w:szCs w:val="32"/>
        </w:rPr>
      </w:pPr>
    </w:p>
    <w:p>
      <w:pPr>
        <w:spacing w:line="560" w:lineRule="exact"/>
        <w:jc w:val="center"/>
        <w:rPr>
          <w:rFonts w:hint="eastAsia" w:ascii="黑体" w:hAnsi="黑体" w:eastAsia="黑体"/>
          <w:sz w:val="32"/>
          <w:szCs w:val="32"/>
        </w:rPr>
      </w:pPr>
      <w:r>
        <w:rPr>
          <w:rFonts w:hint="eastAsia" w:ascii="黑体" w:hAnsi="黑体" w:eastAsia="黑体"/>
          <w:sz w:val="32"/>
          <w:szCs w:val="32"/>
        </w:rPr>
        <w:t>第八章  经费保障</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第三十五条</w:t>
      </w:r>
      <w:r>
        <w:rPr>
          <w:rFonts w:hint="eastAsia" w:ascii="仿宋" w:hAnsi="仿宋" w:eastAsia="仿宋"/>
          <w:sz w:val="32"/>
          <w:szCs w:val="32"/>
        </w:rPr>
        <w:t xml:space="preserve">  </w:t>
      </w:r>
      <w:r>
        <w:rPr>
          <w:rFonts w:hint="eastAsia" w:ascii="仿宋_GB2312" w:hAnsi="仿宋" w:eastAsia="仿宋_GB2312"/>
          <w:sz w:val="32"/>
          <w:szCs w:val="32"/>
        </w:rPr>
        <w:t>镇（街）骨灰堂运营所需的各项经费，由镇（街）负责。所需经费纳入各镇（街）财政预算，充分保障骨灰堂的正常运营。</w:t>
      </w:r>
    </w:p>
    <w:p>
      <w:pPr>
        <w:spacing w:line="560" w:lineRule="exact"/>
        <w:ind w:firstLine="640" w:firstLineChars="200"/>
        <w:rPr>
          <w:rFonts w:hint="eastAsia" w:ascii="仿宋_GB2312" w:hAnsi="仿宋" w:eastAsia="仿宋_GB2312"/>
          <w:sz w:val="32"/>
          <w:szCs w:val="32"/>
        </w:rPr>
      </w:pPr>
      <w:r>
        <w:rPr>
          <w:rFonts w:hint="eastAsia" w:ascii="楷体" w:hAnsi="楷体" w:eastAsia="楷体"/>
          <w:sz w:val="32"/>
          <w:szCs w:val="32"/>
        </w:rPr>
        <w:t>第三十六条</w:t>
      </w:r>
      <w:r>
        <w:rPr>
          <w:rFonts w:hint="eastAsia" w:ascii="仿宋" w:hAnsi="仿宋" w:eastAsia="仿宋"/>
          <w:sz w:val="32"/>
          <w:szCs w:val="32"/>
        </w:rPr>
        <w:t xml:space="preserve">  </w:t>
      </w:r>
      <w:r>
        <w:rPr>
          <w:rFonts w:hint="eastAsia" w:ascii="仿宋_GB2312" w:hAnsi="仿宋" w:eastAsia="仿宋_GB2312"/>
          <w:sz w:val="32"/>
          <w:szCs w:val="32"/>
        </w:rPr>
        <w:t>镇（街）应加强对骨灰堂资金使用的监督和管理，确保资金专款专用。</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本办法自发文之日起施行。由</w:t>
      </w:r>
      <w:r>
        <w:rPr>
          <w:rFonts w:hint="eastAsia" w:ascii="仿宋_GB2312" w:hAnsi="仿宋" w:eastAsia="仿宋_GB2312"/>
          <w:sz w:val="32"/>
          <w:szCs w:val="32"/>
          <w:highlight w:val="none"/>
          <w:shd w:val="clear" w:color="FFFFFF" w:fill="D9D9D9"/>
          <w:lang w:eastAsia="zh-CN"/>
        </w:rPr>
        <w:t>南京市溧水区人民政府</w:t>
      </w:r>
      <w:r>
        <w:rPr>
          <w:rFonts w:hint="eastAsia" w:ascii="仿宋_GB2312" w:hAnsi="仿宋" w:eastAsia="仿宋_GB2312"/>
          <w:sz w:val="32"/>
          <w:szCs w:val="32"/>
        </w:rPr>
        <w:t>负责解释。</w:t>
      </w:r>
    </w:p>
    <w:p>
      <w:pPr>
        <w:spacing w:line="560" w:lineRule="exact"/>
        <w:rPr>
          <w:rFonts w:ascii="仿宋_GB2312" w:hAnsi="仿宋" w:eastAsia="仿宋_GB2312"/>
          <w:sz w:val="32"/>
          <w:szCs w:val="32"/>
        </w:rPr>
      </w:pPr>
    </w:p>
    <w:p>
      <w:pPr>
        <w:spacing w:line="560" w:lineRule="exact"/>
        <w:rPr>
          <w:rFonts w:ascii="仿宋_GB2312" w:hAnsi="仿宋" w:eastAsia="仿宋_GB2312"/>
          <w:sz w:val="32"/>
          <w:szCs w:val="32"/>
        </w:rPr>
      </w:pPr>
    </w:p>
    <w:p>
      <w:pPr>
        <w:spacing w:line="560" w:lineRule="exact"/>
        <w:rPr>
          <w:rFonts w:ascii="仿宋_GB2312" w:hAnsi="仿宋" w:eastAsia="仿宋_GB2312"/>
          <w:sz w:val="32"/>
          <w:szCs w:val="32"/>
        </w:rPr>
      </w:pPr>
    </w:p>
    <w:p>
      <w:pPr>
        <w:spacing w:line="560" w:lineRule="exact"/>
        <w:rPr>
          <w:rFonts w:ascii="仿宋_GB2312" w:hAnsi="仿宋" w:eastAsia="仿宋_GB2312"/>
          <w:color w:val="333333"/>
          <w:sz w:val="32"/>
          <w:szCs w:val="32"/>
        </w:rPr>
      </w:pPr>
    </w:p>
    <w:p>
      <w:pPr>
        <w:spacing w:line="560" w:lineRule="exact"/>
        <w:rPr>
          <w:rFonts w:ascii="仿宋_GB2312" w:hAnsi="仿宋" w:eastAsia="仿宋_GB2312"/>
          <w:color w:val="333333"/>
          <w:sz w:val="32"/>
          <w:szCs w:val="32"/>
        </w:rPr>
      </w:pPr>
    </w:p>
    <w:p>
      <w:pPr>
        <w:spacing w:line="560" w:lineRule="exact"/>
        <w:rPr>
          <w:rFonts w:ascii="仿宋_GB2312" w:hAnsi="仿宋" w:eastAsia="仿宋_GB2312"/>
          <w:color w:val="333333"/>
          <w:sz w:val="32"/>
          <w:szCs w:val="32"/>
        </w:rPr>
      </w:pPr>
    </w:p>
    <w:p>
      <w:pPr>
        <w:spacing w:line="560" w:lineRule="exact"/>
        <w:rPr>
          <w:rFonts w:ascii="仿宋_GB2312" w:hAnsi="仿宋" w:eastAsia="仿宋_GB2312"/>
          <w:color w:val="333333"/>
          <w:sz w:val="32"/>
          <w:szCs w:val="32"/>
        </w:rPr>
      </w:pPr>
    </w:p>
    <w:p>
      <w:pPr>
        <w:spacing w:line="560" w:lineRule="exact"/>
        <w:rPr>
          <w:rFonts w:ascii="仿宋_GB2312" w:hAnsi="仿宋" w:eastAsia="仿宋_GB2312"/>
          <w:color w:val="333333"/>
          <w:sz w:val="32"/>
          <w:szCs w:val="32"/>
        </w:rPr>
      </w:pPr>
    </w:p>
    <w:p>
      <w:pPr>
        <w:spacing w:line="560" w:lineRule="exact"/>
        <w:rPr>
          <w:rFonts w:ascii="仿宋_GB2312" w:hAnsi="仿宋" w:eastAsia="仿宋_GB2312"/>
          <w:color w:val="333333"/>
          <w:sz w:val="32"/>
          <w:szCs w:val="32"/>
        </w:rPr>
      </w:pPr>
    </w:p>
    <w:p>
      <w:pPr>
        <w:spacing w:line="560" w:lineRule="exact"/>
        <w:rPr>
          <w:rFonts w:ascii="仿宋_GB2312" w:hAnsi="仿宋" w:eastAsia="仿宋_GB2312"/>
          <w:color w:val="333333"/>
          <w:sz w:val="32"/>
          <w:szCs w:val="32"/>
        </w:rPr>
      </w:pPr>
    </w:p>
    <w:p>
      <w:pPr>
        <w:spacing w:line="560" w:lineRule="exact"/>
        <w:rPr>
          <w:rFonts w:ascii="仿宋_GB2312" w:hAnsi="仿宋" w:eastAsia="仿宋_GB2312"/>
          <w:color w:val="333333"/>
          <w:sz w:val="32"/>
          <w:szCs w:val="32"/>
        </w:rPr>
      </w:pPr>
    </w:p>
    <w:p>
      <w:pPr>
        <w:spacing w:line="560" w:lineRule="exact"/>
        <w:rPr>
          <w:rFonts w:ascii="仿宋_GB2312" w:hAnsi="仿宋" w:eastAsia="仿宋_GB2312"/>
          <w:color w:val="333333"/>
          <w:sz w:val="32"/>
          <w:szCs w:val="32"/>
        </w:rPr>
      </w:pPr>
    </w:p>
    <w:p>
      <w:pPr>
        <w:spacing w:line="560" w:lineRule="exact"/>
        <w:rPr>
          <w:rFonts w:ascii="仿宋_GB2312" w:hAnsi="仿宋" w:eastAsia="仿宋_GB2312"/>
          <w:color w:val="333333"/>
          <w:sz w:val="32"/>
          <w:szCs w:val="32"/>
        </w:rPr>
      </w:pPr>
    </w:p>
    <w:p>
      <w:pPr>
        <w:spacing w:line="540" w:lineRule="exact"/>
        <w:rPr>
          <w:rFonts w:hint="eastAsia" w:ascii="仿宋" w:hAnsi="仿宋" w:eastAsia="仿宋" w:cs="宋体"/>
          <w:sz w:val="32"/>
          <w:szCs w:val="32"/>
        </w:rPr>
      </w:pPr>
      <w:r>
        <w:rPr>
          <w:rFonts w:hint="eastAsia" w:ascii="仿宋" w:hAnsi="仿宋" w:eastAsia="仿宋" w:cs="宋体"/>
          <w:sz w:val="32"/>
          <w:szCs w:val="32"/>
        </w:rPr>
        <w:t xml:space="preserve"> </w:t>
      </w:r>
    </w:p>
    <w:p>
      <w:pPr>
        <w:widowControl/>
        <w:jc w:val="left"/>
        <w:rPr>
          <w:rFonts w:ascii="仿宋_GB2312" w:hAnsi="仿宋_GB2312" w:eastAsia="仿宋_GB2312" w:cs="仿宋_GB2312"/>
          <w:b/>
          <w:color w:val="000000"/>
          <w:kern w:val="0"/>
          <w:sz w:val="32"/>
          <w:szCs w:val="32"/>
        </w:rPr>
      </w:pPr>
    </w:p>
    <w:p/>
    <w:sectPr>
      <w:headerReference r:id="rId3" w:type="default"/>
      <w:footerReference r:id="rId4" w:type="default"/>
      <w:footerReference r:id="rId5" w:type="even"/>
      <w:pgSz w:w="11906" w:h="16838"/>
      <w:pgMar w:top="2098" w:right="1474" w:bottom="1701"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汉鼎简特宋">
    <w:altName w:val="宋体"/>
    <w:panose1 w:val="0201060900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jc w:val="cente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w:t>
                          </w:r>
                          <w:r>
                            <w:rPr>
                              <w:rFonts w:hint="eastAsia" w:asciiTheme="minorEastAsia" w:hAnsiTheme="minorEastAsia" w:eastAsiaTheme="minorEastAsia" w:cstheme="minorEastAsia"/>
                              <w:sz w:val="28"/>
                              <w:szCs w:val="28"/>
                            </w:rPr>
                            <w:t xml:space="preserve"> 2 -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jc w:val="cente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w:t>
                    </w:r>
                    <w:r>
                      <w:rPr>
                        <w:rFonts w:hint="eastAsia" w:asciiTheme="minorEastAsia" w:hAnsiTheme="minorEastAsia" w:eastAsiaTheme="minorEastAsia" w:cstheme="minorEastAsia"/>
                        <w:sz w:val="28"/>
                        <w:szCs w:val="28"/>
                      </w:rPr>
                      <w:t xml:space="preserve"> 2 -</w:t>
                    </w:r>
                    <w:r>
                      <w:rPr>
                        <w:rFonts w:hint="eastAsia" w:asciiTheme="minorEastAsia" w:hAnsiTheme="minorEastAsia" w:eastAsiaTheme="minorEastAsia" w:cstheme="minorEastAsia"/>
                        <w:sz w:val="28"/>
                        <w:szCs w:val="28"/>
                      </w:rPr>
                      <w:fldChar w:fldCharType="end"/>
                    </w:r>
                  </w:p>
                </w:txbxContent>
              </v:textbox>
            </v:shape>
          </w:pict>
        </mc:Fallback>
      </mc:AlternateContent>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ODlmMzA0MTVmYzJmYTdkYjNjMGJiMTRhNjExNjQifQ=="/>
  </w:docVars>
  <w:rsids>
    <w:rsidRoot w:val="009F7852"/>
    <w:rsid w:val="00004F54"/>
    <w:rsid w:val="00036830"/>
    <w:rsid w:val="00037A1E"/>
    <w:rsid w:val="00037BDC"/>
    <w:rsid w:val="0005348D"/>
    <w:rsid w:val="00071B37"/>
    <w:rsid w:val="000866BC"/>
    <w:rsid w:val="000A3637"/>
    <w:rsid w:val="000C3148"/>
    <w:rsid w:val="00103C3E"/>
    <w:rsid w:val="001128CB"/>
    <w:rsid w:val="00116AA8"/>
    <w:rsid w:val="00141EB4"/>
    <w:rsid w:val="00144CEB"/>
    <w:rsid w:val="00147737"/>
    <w:rsid w:val="00153E2E"/>
    <w:rsid w:val="0018466F"/>
    <w:rsid w:val="001A1F17"/>
    <w:rsid w:val="001A617A"/>
    <w:rsid w:val="001A71E4"/>
    <w:rsid w:val="001A7A02"/>
    <w:rsid w:val="001C1150"/>
    <w:rsid w:val="00205C83"/>
    <w:rsid w:val="00212FE6"/>
    <w:rsid w:val="0022547D"/>
    <w:rsid w:val="00235F5E"/>
    <w:rsid w:val="00236822"/>
    <w:rsid w:val="00246CEA"/>
    <w:rsid w:val="0026442C"/>
    <w:rsid w:val="002753A5"/>
    <w:rsid w:val="00277EF6"/>
    <w:rsid w:val="002F5DB4"/>
    <w:rsid w:val="003238D1"/>
    <w:rsid w:val="00333DE9"/>
    <w:rsid w:val="003341D9"/>
    <w:rsid w:val="00336C87"/>
    <w:rsid w:val="00340CD9"/>
    <w:rsid w:val="00363A23"/>
    <w:rsid w:val="00374AF8"/>
    <w:rsid w:val="00385245"/>
    <w:rsid w:val="003944E7"/>
    <w:rsid w:val="00396900"/>
    <w:rsid w:val="003B67D7"/>
    <w:rsid w:val="003D4756"/>
    <w:rsid w:val="003E6006"/>
    <w:rsid w:val="003F485D"/>
    <w:rsid w:val="003F72F0"/>
    <w:rsid w:val="00405257"/>
    <w:rsid w:val="00417B6F"/>
    <w:rsid w:val="0044385A"/>
    <w:rsid w:val="00463213"/>
    <w:rsid w:val="0047168B"/>
    <w:rsid w:val="00472459"/>
    <w:rsid w:val="004965AF"/>
    <w:rsid w:val="004B040D"/>
    <w:rsid w:val="004D16D6"/>
    <w:rsid w:val="004E4BC9"/>
    <w:rsid w:val="004F2E01"/>
    <w:rsid w:val="005000D4"/>
    <w:rsid w:val="00532B9F"/>
    <w:rsid w:val="00536BB1"/>
    <w:rsid w:val="00541059"/>
    <w:rsid w:val="00554C73"/>
    <w:rsid w:val="0056248C"/>
    <w:rsid w:val="00564C41"/>
    <w:rsid w:val="00576641"/>
    <w:rsid w:val="005A31DC"/>
    <w:rsid w:val="005C07AE"/>
    <w:rsid w:val="005C5BA2"/>
    <w:rsid w:val="005C77BA"/>
    <w:rsid w:val="005D277D"/>
    <w:rsid w:val="005E2CC3"/>
    <w:rsid w:val="00602EE5"/>
    <w:rsid w:val="0061769C"/>
    <w:rsid w:val="00632CB6"/>
    <w:rsid w:val="00652CC4"/>
    <w:rsid w:val="00664CCB"/>
    <w:rsid w:val="006664AB"/>
    <w:rsid w:val="00690D44"/>
    <w:rsid w:val="006C29BF"/>
    <w:rsid w:val="006E4117"/>
    <w:rsid w:val="00713E8B"/>
    <w:rsid w:val="007219A3"/>
    <w:rsid w:val="00737E38"/>
    <w:rsid w:val="00747A8D"/>
    <w:rsid w:val="0078202F"/>
    <w:rsid w:val="007846DC"/>
    <w:rsid w:val="007B22D7"/>
    <w:rsid w:val="007D0BE3"/>
    <w:rsid w:val="007D663E"/>
    <w:rsid w:val="00800629"/>
    <w:rsid w:val="008149F4"/>
    <w:rsid w:val="00835B6F"/>
    <w:rsid w:val="00861AE3"/>
    <w:rsid w:val="008746D9"/>
    <w:rsid w:val="00902C0C"/>
    <w:rsid w:val="00903329"/>
    <w:rsid w:val="00913F41"/>
    <w:rsid w:val="00924B84"/>
    <w:rsid w:val="00946BB8"/>
    <w:rsid w:val="009753C2"/>
    <w:rsid w:val="00984E59"/>
    <w:rsid w:val="009A6D9E"/>
    <w:rsid w:val="009B69F5"/>
    <w:rsid w:val="009D02D7"/>
    <w:rsid w:val="009F56A3"/>
    <w:rsid w:val="009F580E"/>
    <w:rsid w:val="009F7852"/>
    <w:rsid w:val="00A33CD7"/>
    <w:rsid w:val="00A525F4"/>
    <w:rsid w:val="00A61DE2"/>
    <w:rsid w:val="00A864D0"/>
    <w:rsid w:val="00A909DF"/>
    <w:rsid w:val="00AC140D"/>
    <w:rsid w:val="00AE258F"/>
    <w:rsid w:val="00AE365F"/>
    <w:rsid w:val="00AE3A46"/>
    <w:rsid w:val="00AF0AF7"/>
    <w:rsid w:val="00B05984"/>
    <w:rsid w:val="00B21DFF"/>
    <w:rsid w:val="00B45319"/>
    <w:rsid w:val="00B520E3"/>
    <w:rsid w:val="00B90B0E"/>
    <w:rsid w:val="00B91317"/>
    <w:rsid w:val="00BB1543"/>
    <w:rsid w:val="00BD5AB8"/>
    <w:rsid w:val="00BF44B9"/>
    <w:rsid w:val="00BF6FCB"/>
    <w:rsid w:val="00C07E7B"/>
    <w:rsid w:val="00C24222"/>
    <w:rsid w:val="00C60360"/>
    <w:rsid w:val="00C668F3"/>
    <w:rsid w:val="00CA1E37"/>
    <w:rsid w:val="00CB02D6"/>
    <w:rsid w:val="00CB791D"/>
    <w:rsid w:val="00D018E6"/>
    <w:rsid w:val="00D50B3F"/>
    <w:rsid w:val="00D51414"/>
    <w:rsid w:val="00D76E32"/>
    <w:rsid w:val="00D82ADF"/>
    <w:rsid w:val="00DA1418"/>
    <w:rsid w:val="00DA349F"/>
    <w:rsid w:val="00DC07DB"/>
    <w:rsid w:val="00DD4A51"/>
    <w:rsid w:val="00E15C7F"/>
    <w:rsid w:val="00E222C2"/>
    <w:rsid w:val="00E33A03"/>
    <w:rsid w:val="00E4152F"/>
    <w:rsid w:val="00E640E7"/>
    <w:rsid w:val="00E74428"/>
    <w:rsid w:val="00E76B09"/>
    <w:rsid w:val="00E84A2A"/>
    <w:rsid w:val="00E84F29"/>
    <w:rsid w:val="00E868D9"/>
    <w:rsid w:val="00E932E7"/>
    <w:rsid w:val="00E970FC"/>
    <w:rsid w:val="00EB0817"/>
    <w:rsid w:val="00EB0AF0"/>
    <w:rsid w:val="00ED0021"/>
    <w:rsid w:val="00EE0E6C"/>
    <w:rsid w:val="00EE1F76"/>
    <w:rsid w:val="00F0295D"/>
    <w:rsid w:val="00F10CC8"/>
    <w:rsid w:val="00F1514E"/>
    <w:rsid w:val="00F16E83"/>
    <w:rsid w:val="00F45D52"/>
    <w:rsid w:val="00F57482"/>
    <w:rsid w:val="00F66231"/>
    <w:rsid w:val="00F92AE2"/>
    <w:rsid w:val="00FA6146"/>
    <w:rsid w:val="00FB0437"/>
    <w:rsid w:val="00FE0A2A"/>
    <w:rsid w:val="00FF1C5E"/>
    <w:rsid w:val="00FF4EDF"/>
    <w:rsid w:val="00FF711B"/>
    <w:rsid w:val="030E461B"/>
    <w:rsid w:val="070B1933"/>
    <w:rsid w:val="0F712257"/>
    <w:rsid w:val="1A7301F6"/>
    <w:rsid w:val="21F608D0"/>
    <w:rsid w:val="24A0493A"/>
    <w:rsid w:val="277D59DB"/>
    <w:rsid w:val="33F73D8E"/>
    <w:rsid w:val="373D1B83"/>
    <w:rsid w:val="4CA74B4B"/>
    <w:rsid w:val="72391AD0"/>
    <w:rsid w:val="7C2948F2"/>
    <w:rsid w:val="7E9E1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unhideWhenUsed/>
    <w:qFormat/>
    <w:uiPriority w:val="99"/>
    <w:pPr>
      <w:widowControl w:val="0"/>
      <w:spacing w:beforeLines="0" w:afterLines="0"/>
      <w:jc w:val="both"/>
    </w:pPr>
    <w:rPr>
      <w:rFonts w:hint="default" w:ascii="Times New Roman" w:hAnsi="Times New Roman" w:eastAsia="Times New Roman" w:cs="Times New Roman"/>
      <w:sz w:val="21"/>
      <w:szCs w:val="22"/>
      <w:lang w:val="en-US" w:eastAsia="zh-CN" w:bidi="ar-SA"/>
    </w:rPr>
  </w:style>
  <w:style w:type="paragraph" w:styleId="3">
    <w:name w:val="Body Text"/>
    <w:basedOn w:val="1"/>
    <w:link w:val="11"/>
    <w:qFormat/>
    <w:uiPriority w:val="0"/>
    <w:pPr>
      <w:spacing w:line="560" w:lineRule="exact"/>
      <w:jc w:val="center"/>
    </w:pPr>
    <w:rPr>
      <w:b/>
      <w:bCs/>
      <w:sz w:val="44"/>
    </w:rPr>
  </w:style>
  <w:style w:type="paragraph" w:styleId="4">
    <w:name w:val="footer"/>
    <w:basedOn w:val="1"/>
    <w:link w:val="13"/>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page number"/>
    <w:qFormat/>
    <w:uiPriority w:val="0"/>
    <w:rPr>
      <w:rFonts w:ascii="Calibri" w:hAnsi="Calibri" w:eastAsia="宋体" w:cs="Times New Roman"/>
    </w:rPr>
  </w:style>
  <w:style w:type="character" w:customStyle="1" w:styleId="10">
    <w:name w:val="页眉 Char"/>
    <w:link w:val="5"/>
    <w:qFormat/>
    <w:uiPriority w:val="0"/>
    <w:rPr>
      <w:rFonts w:ascii="Calibri" w:hAnsi="Calibri" w:eastAsia="宋体" w:cs="Times New Roman"/>
      <w:sz w:val="18"/>
      <w:szCs w:val="18"/>
    </w:rPr>
  </w:style>
  <w:style w:type="character" w:customStyle="1" w:styleId="11">
    <w:name w:val="正文文本 Char"/>
    <w:link w:val="3"/>
    <w:qFormat/>
    <w:uiPriority w:val="0"/>
    <w:rPr>
      <w:rFonts w:ascii="Calibri" w:hAnsi="Calibri" w:eastAsia="宋体" w:cs="Times New Roman"/>
      <w:b/>
      <w:bCs/>
      <w:sz w:val="44"/>
    </w:rPr>
  </w:style>
  <w:style w:type="character" w:customStyle="1" w:styleId="12">
    <w:name w:val="页脚 Char1"/>
    <w:semiHidden/>
    <w:qFormat/>
    <w:uiPriority w:val="99"/>
    <w:rPr>
      <w:rFonts w:ascii="Times New Roman" w:hAnsi="Times New Roman" w:eastAsia="宋体" w:cs="Times New Roman"/>
      <w:kern w:val="2"/>
      <w:sz w:val="18"/>
      <w:szCs w:val="18"/>
    </w:rPr>
  </w:style>
  <w:style w:type="character" w:customStyle="1" w:styleId="13">
    <w:name w:val="页脚 Char"/>
    <w:link w:val="4"/>
    <w:qFormat/>
    <w:uiPriority w:val="99"/>
    <w:rPr>
      <w:rFonts w:ascii="Calibri" w:hAnsi="Calibri" w:eastAsia="宋体" w:cs="Times New Roman"/>
      <w:sz w:val="18"/>
      <w:szCs w:val="18"/>
    </w:rPr>
  </w:style>
  <w:style w:type="paragraph" w:customStyle="1" w:styleId="14">
    <w:name w:val=" 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2756</Words>
  <Characters>2772</Characters>
  <Lines>0</Lines>
  <Paragraphs>0</Paragraphs>
  <TotalTime>1</TotalTime>
  <ScaleCrop>false</ScaleCrop>
  <LinksUpToDate>false</LinksUpToDate>
  <CharactersWithSpaces>2870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2022-06-24T03:37:00Z</dcterms:created>
  <dc:creator>开开</dc:creator>
  <cp:lastModifiedBy>太白豆子</cp:lastModifiedBy>
  <dcterms:modified xsi:type="dcterms:W3CDTF">2022-11-19T08:12:26Z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3614F2AB5DAB4FDF9AD76182501997AB</vt:lpwstr>
  </property>
</Properties>
</file>