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720" w:firstLineChars="200"/>
        <w:jc w:val="center"/>
        <w:textAlignment w:val="auto"/>
        <w:rPr>
          <w:rFonts w:hint="eastAsia" w:ascii="宋体" w:hAnsi="宋体" w:eastAsia="宋体" w:cs="宋体"/>
          <w:bCs/>
          <w:sz w:val="36"/>
          <w:szCs w:val="36"/>
          <w:lang w:val="en-US" w:eastAsia="zh-CN"/>
        </w:rPr>
      </w:pPr>
      <w:r>
        <w:rPr>
          <w:rFonts w:hint="eastAsia" w:ascii="宋体" w:hAnsi="宋体" w:eastAsia="宋体" w:cs="宋体"/>
          <w:bCs/>
          <w:sz w:val="36"/>
          <w:szCs w:val="36"/>
          <w:lang w:val="en-US" w:eastAsia="zh-CN"/>
        </w:rPr>
        <w:t>溧水区国有投资项目标后监督管理办法</w:t>
      </w:r>
    </w:p>
    <w:p>
      <w:pPr>
        <w:keepNext w:val="0"/>
        <w:keepLines w:val="0"/>
        <w:pageBreakBefore w:val="0"/>
        <w:widowControl w:val="0"/>
        <w:kinsoku/>
        <w:wordWrap/>
        <w:overflowPunct/>
        <w:topLinePunct w:val="0"/>
        <w:autoSpaceDE/>
        <w:autoSpaceDN/>
        <w:bidi w:val="0"/>
        <w:adjustRightInd/>
        <w:snapToGrid/>
        <w:spacing w:line="560" w:lineRule="exact"/>
        <w:ind w:firstLine="720" w:firstLineChars="200"/>
        <w:jc w:val="center"/>
        <w:textAlignment w:val="auto"/>
        <w:rPr>
          <w:rFonts w:hint="eastAsia" w:ascii="宋体" w:hAnsi="宋体" w:eastAsia="宋体" w:cs="宋体"/>
          <w:bCs/>
          <w:sz w:val="36"/>
          <w:szCs w:val="36"/>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201</w:t>
      </w:r>
      <w:r>
        <w:rPr>
          <w:rFonts w:hint="eastAsia"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lang w:val="en-US" w:eastAsia="zh-CN"/>
        </w:rPr>
        <w:t>年</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lang w:val="en-US" w:eastAsia="zh-CN"/>
        </w:rPr>
        <w:t>日以溧政</w:t>
      </w:r>
      <w:r>
        <w:rPr>
          <w:rFonts w:hint="eastAsia" w:ascii="Times New Roman" w:hAnsi="Times New Roman" w:eastAsia="仿宋_GB2312" w:cs="Times New Roman"/>
          <w:sz w:val="32"/>
          <w:szCs w:val="32"/>
          <w:lang w:val="en-US" w:eastAsia="zh-CN"/>
        </w:rPr>
        <w:t>规</w:t>
      </w:r>
      <w:r>
        <w:rPr>
          <w:rFonts w:hint="default" w:ascii="Times New Roman" w:hAnsi="Times New Roman" w:eastAsia="仿宋_GB2312" w:cs="Times New Roman"/>
          <w:sz w:val="32"/>
          <w:szCs w:val="32"/>
          <w:lang w:val="en-US" w:eastAsia="zh-CN"/>
        </w:rPr>
        <w:t>〔201</w:t>
      </w:r>
      <w:r>
        <w:rPr>
          <w:rFonts w:hint="eastAsia"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号</w:t>
      </w:r>
      <w:r>
        <w:rPr>
          <w:rFonts w:hint="eastAsia" w:ascii="Times New Roman" w:hAnsi="Times New Roman" w:eastAsia="仿宋_GB2312" w:cs="Times New Roman"/>
          <w:sz w:val="32"/>
          <w:szCs w:val="32"/>
          <w:lang w:val="en-US" w:eastAsia="zh-CN"/>
        </w:rPr>
        <w:t>文发布 根据2020年11月13日发布的《南京市溧水区人民政府关于修改废止部分区政府规范性文件的决定》修正</w:t>
      </w:r>
      <w:r>
        <w:rPr>
          <w:rFonts w:hint="default"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为进一步加强我区国有投资项目的招标投标后续管理，促进项目实施各方责任主体认真履职，提高国有投资项目质量和效益，根据《建筑法》、《招标投标法》等有关法律、法规及相关规定，结合本区实际，制定本办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00000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黑体" w:hAnsi="黑体" w:eastAsia="黑体" w:cs="黑体"/>
          <w:bCs/>
          <w:color w:val="000000"/>
          <w:sz w:val="32"/>
          <w:szCs w:val="32"/>
        </w:rPr>
      </w:pPr>
      <w:r>
        <w:rPr>
          <w:rFonts w:hint="eastAsia" w:ascii="黑体" w:hAnsi="黑体" w:eastAsia="黑体" w:cs="黑体"/>
          <w:bCs/>
          <w:color w:val="000000"/>
          <w:sz w:val="32"/>
          <w:szCs w:val="32"/>
        </w:rPr>
        <w:t>第一章  总  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color w:val="000000"/>
          <w:sz w:val="32"/>
          <w:szCs w:val="32"/>
          <w:lang w:eastAsia="zh-CN"/>
        </w:rPr>
      </w:pPr>
      <w:r>
        <w:rPr>
          <w:rFonts w:hint="default" w:ascii="Times New Roman" w:hAnsi="Times New Roman" w:eastAsia="仿宋_GB2312" w:cs="Times New Roman"/>
          <w:b w:val="0"/>
          <w:bCs w:val="0"/>
          <w:color w:val="000000"/>
          <w:sz w:val="32"/>
          <w:szCs w:val="32"/>
        </w:rPr>
        <w:t xml:space="preserve">第一条 </w:t>
      </w:r>
      <w:r>
        <w:rPr>
          <w:rFonts w:hint="default" w:ascii="Times New Roman" w:hAnsi="Times New Roman" w:eastAsia="仿宋_GB2312" w:cs="Times New Roman"/>
          <w:b/>
          <w:bCs/>
          <w:color w:val="000000"/>
          <w:sz w:val="32"/>
          <w:szCs w:val="32"/>
        </w:rPr>
        <w:t xml:space="preserve"> </w:t>
      </w:r>
      <w:r>
        <w:rPr>
          <w:rFonts w:hint="default" w:ascii="Times New Roman" w:hAnsi="Times New Roman" w:eastAsia="仿宋_GB2312" w:cs="Times New Roman"/>
          <w:b w:val="0"/>
          <w:bCs w:val="0"/>
          <w:color w:val="000000"/>
          <w:sz w:val="32"/>
          <w:szCs w:val="32"/>
        </w:rPr>
        <w:t>本办法适用于溧水区国有资金投资或者国有资金投资占控股或者主导地位的房屋建筑工程、市政基础设施、水利和交通等工程项目及其配套、附属工程（以下简称建设工</w:t>
      </w:r>
      <w:r>
        <w:rPr>
          <w:rFonts w:hint="default" w:ascii="Times New Roman" w:hAnsi="Times New Roman" w:eastAsia="仿宋_GB2312" w:cs="Times New Roman"/>
          <w:b w:val="0"/>
          <w:bCs w:val="0"/>
          <w:color w:val="000000"/>
          <w:sz w:val="32"/>
          <w:szCs w:val="32"/>
          <w:lang w:eastAsia="zh-CN"/>
        </w:rPr>
        <w:t>程项目）。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第二条</w:t>
      </w:r>
      <w:r>
        <w:rPr>
          <w:rFonts w:hint="default" w:ascii="Times New Roman" w:hAnsi="Times New Roman" w:eastAsia="仿宋_GB2312" w:cs="Times New Roman"/>
          <w:b/>
          <w:bCs/>
          <w:color w:val="000000"/>
          <w:sz w:val="32"/>
          <w:szCs w:val="32"/>
        </w:rPr>
        <w:t xml:space="preserve">  </w:t>
      </w:r>
      <w:r>
        <w:rPr>
          <w:rFonts w:hint="default" w:ascii="Times New Roman" w:hAnsi="Times New Roman" w:eastAsia="仿宋_GB2312" w:cs="Times New Roman"/>
          <w:b w:val="0"/>
          <w:bCs w:val="0"/>
          <w:color w:val="000000"/>
          <w:sz w:val="32"/>
          <w:szCs w:val="32"/>
        </w:rPr>
        <w:t>本办法所称标后监督管理，是指建设单位和</w:t>
      </w:r>
      <w:r>
        <w:rPr>
          <w:rFonts w:hint="default" w:ascii="Times New Roman" w:hAnsi="Times New Roman" w:eastAsia="仿宋_GB2312" w:cs="Times New Roman"/>
          <w:b w:val="0"/>
          <w:bCs w:val="0"/>
          <w:color w:val="000000"/>
          <w:sz w:val="32"/>
          <w:szCs w:val="32"/>
          <w:lang w:val="en-US" w:eastAsia="zh-CN"/>
        </w:rPr>
        <w:t>区发改、财政、城建、交运、水务、规划资源、农业农村、审计、行政审批等政府相关职能部门</w:t>
      </w:r>
      <w:r>
        <w:rPr>
          <w:rFonts w:hint="default" w:ascii="Times New Roman" w:hAnsi="Times New Roman" w:eastAsia="仿宋_GB2312" w:cs="Times New Roman"/>
          <w:b w:val="0"/>
          <w:bCs w:val="0"/>
          <w:color w:val="000000"/>
          <w:sz w:val="32"/>
          <w:szCs w:val="32"/>
        </w:rPr>
        <w:t>根据各自职责对中标后的国有投资工程进行监督管理的活动。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第三条</w:t>
      </w:r>
      <w:r>
        <w:rPr>
          <w:rFonts w:hint="default" w:ascii="Times New Roman" w:hAnsi="Times New Roman" w:eastAsia="仿宋_GB2312" w:cs="Times New Roman"/>
          <w:b w:val="0"/>
          <w:bCs w:val="0"/>
          <w:color w:val="000000"/>
          <w:sz w:val="32"/>
          <w:szCs w:val="32"/>
          <w:lang w:val="en-US" w:eastAsia="zh-CN"/>
        </w:rPr>
        <w:t xml:space="preserve"> </w:t>
      </w:r>
      <w:r>
        <w:rPr>
          <w:rFonts w:hint="default" w:ascii="Times New Roman" w:hAnsi="Times New Roman" w:eastAsia="仿宋_GB2312" w:cs="Times New Roman"/>
          <w:b/>
          <w:bCs/>
          <w:color w:val="000000"/>
          <w:sz w:val="32"/>
          <w:szCs w:val="32"/>
        </w:rPr>
        <w:t xml:space="preserve"> </w:t>
      </w:r>
      <w:r>
        <w:rPr>
          <w:rFonts w:hint="default" w:ascii="Times New Roman" w:hAnsi="Times New Roman" w:eastAsia="仿宋_GB2312" w:cs="Times New Roman"/>
          <w:b w:val="0"/>
          <w:bCs w:val="0"/>
          <w:color w:val="000000"/>
          <w:sz w:val="32"/>
          <w:szCs w:val="32"/>
        </w:rPr>
        <w:t>建设单位是标后管理的责任主体</w:t>
      </w:r>
      <w:r>
        <w:rPr>
          <w:rFonts w:hint="eastAsia" w:ascii="Times New Roman" w:hAnsi="Times New Roman" w:eastAsia="仿宋_GB2312" w:cs="Times New Roman"/>
          <w:b w:val="0"/>
          <w:bCs w:val="0"/>
          <w:color w:val="000000"/>
          <w:sz w:val="32"/>
          <w:szCs w:val="32"/>
          <w:lang w:eastAsia="zh-CN"/>
        </w:rPr>
        <w:t>，</w:t>
      </w:r>
      <w:r>
        <w:rPr>
          <w:rFonts w:hint="default" w:ascii="Times New Roman" w:hAnsi="Times New Roman" w:eastAsia="仿宋_GB2312" w:cs="Times New Roman"/>
          <w:b w:val="0"/>
          <w:bCs w:val="0"/>
          <w:color w:val="000000"/>
          <w:sz w:val="32"/>
          <w:szCs w:val="32"/>
        </w:rPr>
        <w:t>应当建立由单位领导、专业技术人员等组成的管理班子，明确项目负责人，加强标后管理。发现问题及时提出整改意见并以书面形式报相关行政主管部门。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val="0"/>
          <w:bCs w:val="0"/>
          <w:color w:val="000000"/>
          <w:sz w:val="32"/>
          <w:szCs w:val="32"/>
        </w:rPr>
        <w:t>第四条</w:t>
      </w:r>
      <w:r>
        <w:rPr>
          <w:rFonts w:hint="default" w:ascii="Times New Roman" w:hAnsi="Times New Roman" w:eastAsia="仿宋_GB2312" w:cs="Times New Roman"/>
          <w:color w:val="000000"/>
          <w:sz w:val="32"/>
          <w:szCs w:val="32"/>
        </w:rPr>
        <w:t>　区政府投资建设项目招投标监督管理领导小组办公室（招管办）依据区政府授权，组织相关部门开展联合检查及相关协调工作。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黑体" w:hAnsi="黑体" w:eastAsia="黑体" w:cs="黑体"/>
          <w:b w:val="0"/>
          <w:bCs w:val="0"/>
          <w:color w:val="00000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eastAsia="zh-CN"/>
        </w:rPr>
        <w:t>第二章</w:t>
      </w:r>
      <w:r>
        <w:rPr>
          <w:rFonts w:hint="eastAsia" w:ascii="黑体" w:hAnsi="黑体" w:eastAsia="黑体" w:cs="黑体"/>
          <w:b w:val="0"/>
          <w:bCs w:val="0"/>
          <w:color w:val="000000"/>
          <w:sz w:val="32"/>
          <w:szCs w:val="32"/>
          <w:lang w:val="en-US" w:eastAsia="zh-CN"/>
        </w:rPr>
        <w:t xml:space="preserve">   合同订立和履行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第</w:t>
      </w:r>
      <w:r>
        <w:rPr>
          <w:rFonts w:hint="default" w:ascii="Times New Roman" w:hAnsi="Times New Roman" w:eastAsia="仿宋_GB2312" w:cs="Times New Roman"/>
          <w:b w:val="0"/>
          <w:bCs w:val="0"/>
          <w:color w:val="000000"/>
          <w:sz w:val="32"/>
          <w:szCs w:val="32"/>
          <w:lang w:eastAsia="zh-CN"/>
        </w:rPr>
        <w:t>五</w:t>
      </w:r>
      <w:r>
        <w:rPr>
          <w:rFonts w:hint="default" w:ascii="Times New Roman" w:hAnsi="Times New Roman" w:eastAsia="仿宋_GB2312" w:cs="Times New Roman"/>
          <w:b w:val="0"/>
          <w:bCs w:val="0"/>
          <w:color w:val="000000"/>
          <w:sz w:val="32"/>
          <w:szCs w:val="32"/>
        </w:rPr>
        <w:t>条</w:t>
      </w:r>
      <w:r>
        <w:rPr>
          <w:rFonts w:hint="default" w:ascii="Times New Roman" w:hAnsi="Times New Roman" w:eastAsia="仿宋_GB2312" w:cs="Times New Roman"/>
          <w:b/>
          <w:bCs/>
          <w:color w:val="000000"/>
          <w:sz w:val="32"/>
          <w:szCs w:val="32"/>
        </w:rPr>
        <w:t>　</w:t>
      </w:r>
      <w:r>
        <w:rPr>
          <w:rFonts w:hint="default" w:ascii="Times New Roman" w:hAnsi="Times New Roman" w:eastAsia="仿宋_GB2312" w:cs="Times New Roman"/>
          <w:b w:val="0"/>
          <w:bCs w:val="0"/>
          <w:color w:val="000000"/>
          <w:sz w:val="32"/>
          <w:szCs w:val="32"/>
        </w:rPr>
        <w:t>承发包双方应按规定及时订立书面合同，一般应在发出中标通知书之日起 15 日内，最迟应在投标有效期内并在自中标通知书发出之日起 30 日内。签订合同时建设单位应核查合同中明确的人员是否与投标承诺一致。订立书面合同后 7 日内报相应的行政主管部门备案。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合同签订后，不得背离合同签订与招标文件、中标的投标文件实质性内容不一致的补充合同。如需在已签订合同基础上补充、变更或解除合同的应签订书面协议，并在签订协议后 7 日内报原合同备案机关办理变更备案手续。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val="0"/>
          <w:bCs w:val="0"/>
          <w:color w:val="000000"/>
          <w:sz w:val="32"/>
          <w:szCs w:val="32"/>
        </w:rPr>
        <w:t>第</w:t>
      </w:r>
      <w:r>
        <w:rPr>
          <w:rFonts w:hint="default" w:ascii="Times New Roman" w:hAnsi="Times New Roman" w:eastAsia="仿宋_GB2312" w:cs="Times New Roman"/>
          <w:b w:val="0"/>
          <w:bCs w:val="0"/>
          <w:color w:val="000000"/>
          <w:sz w:val="32"/>
          <w:szCs w:val="32"/>
          <w:lang w:eastAsia="zh-CN"/>
        </w:rPr>
        <w:t>六</w:t>
      </w:r>
      <w:r>
        <w:rPr>
          <w:rFonts w:hint="default" w:ascii="Times New Roman" w:hAnsi="Times New Roman" w:eastAsia="仿宋_GB2312" w:cs="Times New Roman"/>
          <w:b w:val="0"/>
          <w:bCs w:val="0"/>
          <w:color w:val="000000"/>
          <w:sz w:val="32"/>
          <w:szCs w:val="32"/>
        </w:rPr>
        <w:t>条</w:t>
      </w:r>
      <w:r>
        <w:rPr>
          <w:rFonts w:hint="default" w:ascii="Times New Roman" w:hAnsi="Times New Roman" w:eastAsia="仿宋_GB2312" w:cs="Times New Roman"/>
          <w:color w:val="000000"/>
          <w:sz w:val="32"/>
          <w:szCs w:val="32"/>
        </w:rPr>
        <w:t xml:space="preserve">  承包人应当严格按照招投标文件和合同履约，不得非法转包或违法分包。确需分包的项目，应符合国家法律、法规及招标文件规定，并在施工总承包合同中载明，依法签定分包合同并按规定备案。建设单位不得指定分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val="0"/>
          <w:bCs w:val="0"/>
          <w:color w:val="000000"/>
          <w:sz w:val="32"/>
          <w:szCs w:val="32"/>
        </w:rPr>
        <w:t>第</w:t>
      </w:r>
      <w:r>
        <w:rPr>
          <w:rFonts w:hint="default" w:ascii="Times New Roman" w:hAnsi="Times New Roman" w:eastAsia="仿宋_GB2312" w:cs="Times New Roman"/>
          <w:b w:val="0"/>
          <w:bCs w:val="0"/>
          <w:color w:val="000000"/>
          <w:sz w:val="32"/>
          <w:szCs w:val="32"/>
          <w:lang w:eastAsia="zh-CN"/>
        </w:rPr>
        <w:t>七</w:t>
      </w:r>
      <w:r>
        <w:rPr>
          <w:rFonts w:hint="default" w:ascii="Times New Roman" w:hAnsi="Times New Roman" w:eastAsia="仿宋_GB2312" w:cs="Times New Roman"/>
          <w:b w:val="0"/>
          <w:bCs w:val="0"/>
          <w:color w:val="000000"/>
          <w:sz w:val="32"/>
          <w:szCs w:val="32"/>
        </w:rPr>
        <w:t>条</w:t>
      </w:r>
      <w:r>
        <w:rPr>
          <w:rFonts w:hint="default" w:ascii="Times New Roman" w:hAnsi="Times New Roman" w:eastAsia="仿宋_GB2312" w:cs="Times New Roman"/>
          <w:color w:val="000000"/>
          <w:sz w:val="32"/>
          <w:szCs w:val="32"/>
        </w:rPr>
        <w:t>　建设工程项目应实行履约担保和支付担保制度。建设单位应当在招标文件中明确履约担保额度（中标合同金额的5-10%</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b w:val="0"/>
          <w:bCs w:val="0"/>
          <w:color w:val="000000"/>
          <w:sz w:val="32"/>
          <w:szCs w:val="32"/>
        </w:rPr>
        <w:t>明确履约担保应当在签订合同前由承包人向发包人提交；</w:t>
      </w:r>
      <w:r>
        <w:rPr>
          <w:rFonts w:hint="default" w:ascii="Times New Roman" w:hAnsi="Times New Roman" w:eastAsia="仿宋_GB2312" w:cs="Times New Roman"/>
          <w:color w:val="000000"/>
          <w:sz w:val="32"/>
          <w:szCs w:val="32"/>
        </w:rPr>
        <w:t>在合同中</w:t>
      </w:r>
      <w:bookmarkStart w:id="0" w:name="_GoBack"/>
      <w:bookmarkEnd w:id="0"/>
      <w:r>
        <w:rPr>
          <w:rFonts w:hint="default" w:ascii="Times New Roman" w:hAnsi="Times New Roman" w:eastAsia="仿宋_GB2312" w:cs="Times New Roman"/>
          <w:color w:val="000000"/>
          <w:sz w:val="32"/>
          <w:szCs w:val="32"/>
        </w:rPr>
        <w:t>约定支付担保和履约担保的退还节点。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 w:val="0"/>
          <w:bCs w:val="0"/>
          <w:color w:val="000000"/>
          <w:sz w:val="32"/>
          <w:szCs w:val="32"/>
        </w:rPr>
        <w:t>第</w:t>
      </w:r>
      <w:r>
        <w:rPr>
          <w:rFonts w:hint="default" w:ascii="Times New Roman" w:hAnsi="Times New Roman" w:eastAsia="仿宋_GB2312" w:cs="Times New Roman"/>
          <w:b w:val="0"/>
          <w:bCs w:val="0"/>
          <w:color w:val="000000"/>
          <w:sz w:val="32"/>
          <w:szCs w:val="32"/>
          <w:lang w:eastAsia="zh-CN"/>
        </w:rPr>
        <w:t>八</w:t>
      </w:r>
      <w:r>
        <w:rPr>
          <w:rFonts w:hint="default" w:ascii="Times New Roman" w:hAnsi="Times New Roman" w:eastAsia="仿宋_GB2312" w:cs="Times New Roman"/>
          <w:b w:val="0"/>
          <w:bCs w:val="0"/>
          <w:color w:val="000000"/>
          <w:sz w:val="32"/>
          <w:szCs w:val="32"/>
        </w:rPr>
        <w:t>条</w:t>
      </w:r>
      <w:r>
        <w:rPr>
          <w:rFonts w:hint="default" w:ascii="Times New Roman" w:hAnsi="Times New Roman" w:eastAsia="仿宋_GB2312" w:cs="Times New Roman"/>
          <w:bCs/>
          <w:color w:val="000000"/>
          <w:sz w:val="32"/>
          <w:szCs w:val="32"/>
        </w:rPr>
        <w:t xml:space="preserve">  建设单位应对工程建设的全过程实施管理，负责建设工程标后对施工、监理等单位履行合同等情况的日常管理， 建立检查台帐：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Cs/>
          <w:color w:val="000000"/>
          <w:sz w:val="32"/>
          <w:szCs w:val="32"/>
          <w:lang w:eastAsia="zh-CN"/>
        </w:rPr>
      </w:pPr>
      <w:r>
        <w:rPr>
          <w:rFonts w:hint="default" w:ascii="Times New Roman" w:hAnsi="Times New Roman" w:eastAsia="仿宋_GB2312" w:cs="Times New Roman"/>
          <w:bCs/>
          <w:color w:val="000000"/>
          <w:sz w:val="32"/>
          <w:szCs w:val="32"/>
        </w:rPr>
        <w:t>（一）进场核查和现场考勤。要求监理、施工单位进场前分别提交项目管理机构人员组成名单、关键岗位人员名单，同时提交岗位安排、注册执业资格、人员劳动关系证明和缴纳社会保险的有效证明，核查是否与合同中明确的人员一致；督促施工管理人员、监理人员认真履行职责，并对其进行考勤，项目经理（负责人）每月带班少于本月施工时间 80%的、总监少于50%的，列入重点监管对象、并主动报告行业行政主管部门，认真核查其转包和违法分包行为</w:t>
      </w:r>
      <w:r>
        <w:rPr>
          <w:rFonts w:hint="default" w:ascii="Times New Roman" w:hAnsi="Times New Roman" w:eastAsia="仿宋_GB2312" w:cs="Times New Roman"/>
          <w:bCs/>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承包人存在下列情形之一的视为转包：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lang w:eastAsia="zh-CN"/>
        </w:rPr>
        <w:t>（</w:t>
      </w:r>
      <w:r>
        <w:rPr>
          <w:rFonts w:hint="default" w:ascii="Times New Roman" w:hAnsi="Times New Roman" w:eastAsia="仿宋_GB2312" w:cs="Times New Roman"/>
          <w:bCs/>
          <w:color w:val="000000"/>
          <w:sz w:val="32"/>
          <w:szCs w:val="32"/>
          <w:lang w:val="en-US" w:eastAsia="zh-CN"/>
        </w:rPr>
        <w:t>1</w:t>
      </w:r>
      <w:r>
        <w:rPr>
          <w:rFonts w:hint="default" w:ascii="Times New Roman" w:hAnsi="Times New Roman" w:eastAsia="仿宋_GB2312" w:cs="Times New Roman"/>
          <w:bCs/>
          <w:color w:val="000000"/>
          <w:sz w:val="32"/>
          <w:szCs w:val="32"/>
          <w:lang w:eastAsia="zh-CN"/>
        </w:rPr>
        <w:t>）</w:t>
      </w:r>
      <w:r>
        <w:rPr>
          <w:rFonts w:hint="default" w:ascii="Times New Roman" w:hAnsi="Times New Roman" w:eastAsia="仿宋_GB2312" w:cs="Times New Roman"/>
          <w:bCs/>
          <w:color w:val="000000"/>
          <w:sz w:val="32"/>
          <w:szCs w:val="32"/>
        </w:rPr>
        <w:t>将其承包的全部建设工程转给他人的；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lang w:eastAsia="zh-CN"/>
        </w:rPr>
        <w:t>（</w:t>
      </w:r>
      <w:r>
        <w:rPr>
          <w:rFonts w:hint="default" w:ascii="Times New Roman" w:hAnsi="Times New Roman" w:eastAsia="仿宋_GB2312" w:cs="Times New Roman"/>
          <w:bCs/>
          <w:color w:val="000000"/>
          <w:sz w:val="32"/>
          <w:szCs w:val="32"/>
          <w:lang w:val="en-US" w:eastAsia="zh-CN"/>
        </w:rPr>
        <w:t>2</w:t>
      </w:r>
      <w:r>
        <w:rPr>
          <w:rFonts w:hint="default" w:ascii="Times New Roman" w:hAnsi="Times New Roman" w:eastAsia="仿宋_GB2312" w:cs="Times New Roman"/>
          <w:bCs/>
          <w:color w:val="000000"/>
          <w:sz w:val="32"/>
          <w:szCs w:val="32"/>
          <w:lang w:eastAsia="zh-CN"/>
        </w:rPr>
        <w:t>）</w:t>
      </w:r>
      <w:r>
        <w:rPr>
          <w:rFonts w:hint="default" w:ascii="Times New Roman" w:hAnsi="Times New Roman" w:eastAsia="仿宋_GB2312" w:cs="Times New Roman"/>
          <w:bCs/>
          <w:color w:val="000000"/>
          <w:sz w:val="32"/>
          <w:szCs w:val="32"/>
        </w:rPr>
        <w:t xml:space="preserve">将其承包的全部建设工程以分包名义分别转给他人的；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lang w:eastAsia="zh-CN"/>
        </w:rPr>
        <w:t>（</w:t>
      </w:r>
      <w:r>
        <w:rPr>
          <w:rFonts w:hint="default" w:ascii="Times New Roman" w:hAnsi="Times New Roman" w:eastAsia="仿宋_GB2312" w:cs="Times New Roman"/>
          <w:bCs/>
          <w:color w:val="000000"/>
          <w:sz w:val="32"/>
          <w:szCs w:val="32"/>
          <w:lang w:val="en-US" w:eastAsia="zh-CN"/>
        </w:rPr>
        <w:t>3</w:t>
      </w:r>
      <w:r>
        <w:rPr>
          <w:rFonts w:hint="default" w:ascii="Times New Roman" w:hAnsi="Times New Roman" w:eastAsia="仿宋_GB2312" w:cs="Times New Roman"/>
          <w:bCs/>
          <w:color w:val="000000"/>
          <w:sz w:val="32"/>
          <w:szCs w:val="32"/>
          <w:lang w:eastAsia="zh-CN"/>
        </w:rPr>
        <w:t>）</w:t>
      </w:r>
      <w:r>
        <w:rPr>
          <w:rFonts w:hint="default" w:ascii="Times New Roman" w:hAnsi="Times New Roman" w:eastAsia="仿宋_GB2312" w:cs="Times New Roman"/>
          <w:bCs/>
          <w:color w:val="000000"/>
          <w:sz w:val="32"/>
          <w:szCs w:val="32"/>
        </w:rPr>
        <w:t>施工现场所设项目管理机构的主要施工管理人员不是本单位人员的；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lang w:eastAsia="zh-CN"/>
        </w:rPr>
        <w:t>（</w:t>
      </w:r>
      <w:r>
        <w:rPr>
          <w:rFonts w:hint="default" w:ascii="Times New Roman" w:hAnsi="Times New Roman" w:eastAsia="仿宋_GB2312" w:cs="Times New Roman"/>
          <w:bCs/>
          <w:color w:val="000000"/>
          <w:sz w:val="32"/>
          <w:szCs w:val="32"/>
          <w:lang w:val="en-US" w:eastAsia="zh-CN"/>
        </w:rPr>
        <w:t>4</w:t>
      </w:r>
      <w:r>
        <w:rPr>
          <w:rFonts w:hint="default" w:ascii="Times New Roman" w:hAnsi="Times New Roman" w:eastAsia="仿宋_GB2312" w:cs="Times New Roman"/>
          <w:bCs/>
          <w:color w:val="000000"/>
          <w:sz w:val="32"/>
          <w:szCs w:val="32"/>
          <w:lang w:eastAsia="zh-CN"/>
        </w:rPr>
        <w:t>）</w:t>
      </w:r>
      <w:r>
        <w:rPr>
          <w:rFonts w:hint="default" w:ascii="Times New Roman" w:hAnsi="Times New Roman" w:eastAsia="仿宋_GB2312" w:cs="Times New Roman"/>
          <w:bCs/>
          <w:color w:val="000000"/>
          <w:sz w:val="32"/>
          <w:szCs w:val="32"/>
        </w:rPr>
        <w:t>将工程分包后，未在施工现场设立项目管理机构和派驻相应人员，未对该工程的施工活动进行组织管理的；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lang w:eastAsia="zh-CN"/>
        </w:rPr>
        <w:t>（</w:t>
      </w:r>
      <w:r>
        <w:rPr>
          <w:rFonts w:hint="default" w:ascii="Times New Roman" w:hAnsi="Times New Roman" w:eastAsia="仿宋_GB2312" w:cs="Times New Roman"/>
          <w:bCs/>
          <w:color w:val="000000"/>
          <w:sz w:val="32"/>
          <w:szCs w:val="32"/>
          <w:lang w:val="en-US" w:eastAsia="zh-CN"/>
        </w:rPr>
        <w:t>5</w:t>
      </w:r>
      <w:r>
        <w:rPr>
          <w:rFonts w:hint="default" w:ascii="Times New Roman" w:hAnsi="Times New Roman" w:eastAsia="仿宋_GB2312" w:cs="Times New Roman"/>
          <w:bCs/>
          <w:color w:val="000000"/>
          <w:sz w:val="32"/>
          <w:szCs w:val="32"/>
          <w:lang w:eastAsia="zh-CN"/>
        </w:rPr>
        <w:t>）</w:t>
      </w:r>
      <w:r>
        <w:rPr>
          <w:rFonts w:hint="default" w:ascii="Times New Roman" w:hAnsi="Times New Roman" w:eastAsia="仿宋_GB2312" w:cs="Times New Roman"/>
          <w:bCs/>
          <w:color w:val="000000"/>
          <w:sz w:val="32"/>
          <w:szCs w:val="32"/>
        </w:rPr>
        <w:t>施工总承包单位与施工总承包范围内分包工程的发包单位是两个独立法人单位的；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lang w:eastAsia="zh-CN"/>
        </w:rPr>
        <w:t>（</w:t>
      </w:r>
      <w:r>
        <w:rPr>
          <w:rFonts w:hint="default" w:ascii="Times New Roman" w:hAnsi="Times New Roman" w:eastAsia="仿宋_GB2312" w:cs="Times New Roman"/>
          <w:bCs/>
          <w:color w:val="000000"/>
          <w:sz w:val="32"/>
          <w:szCs w:val="32"/>
          <w:lang w:val="en-US" w:eastAsia="zh-CN"/>
        </w:rPr>
        <w:t>6</w:t>
      </w:r>
      <w:r>
        <w:rPr>
          <w:rFonts w:hint="default" w:ascii="Times New Roman" w:hAnsi="Times New Roman" w:eastAsia="仿宋_GB2312" w:cs="Times New Roman"/>
          <w:bCs/>
          <w:color w:val="000000"/>
          <w:sz w:val="32"/>
          <w:szCs w:val="32"/>
          <w:lang w:eastAsia="zh-CN"/>
        </w:rPr>
        <w:t>）</w:t>
      </w:r>
      <w:r>
        <w:rPr>
          <w:rFonts w:hint="default" w:ascii="Times New Roman" w:hAnsi="Times New Roman" w:eastAsia="仿宋_GB2312" w:cs="Times New Roman"/>
          <w:bCs/>
          <w:color w:val="000000"/>
          <w:sz w:val="32"/>
          <w:szCs w:val="32"/>
        </w:rPr>
        <w:t>主体工程使用的主要建筑材料或设备由分包单位购买或租赁的；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lang w:eastAsia="zh-CN"/>
        </w:rPr>
        <w:t>（</w:t>
      </w:r>
      <w:r>
        <w:rPr>
          <w:rFonts w:hint="default" w:ascii="Times New Roman" w:hAnsi="Times New Roman" w:eastAsia="仿宋_GB2312" w:cs="Times New Roman"/>
          <w:bCs/>
          <w:color w:val="000000"/>
          <w:sz w:val="32"/>
          <w:szCs w:val="32"/>
          <w:lang w:val="en-US" w:eastAsia="zh-CN"/>
        </w:rPr>
        <w:t>7</w:t>
      </w:r>
      <w:r>
        <w:rPr>
          <w:rFonts w:hint="default" w:ascii="Times New Roman" w:hAnsi="Times New Roman" w:eastAsia="仿宋_GB2312" w:cs="Times New Roman"/>
          <w:bCs/>
          <w:color w:val="000000"/>
          <w:sz w:val="32"/>
          <w:szCs w:val="32"/>
          <w:lang w:eastAsia="zh-CN"/>
        </w:rPr>
        <w:t>）</w:t>
      </w:r>
      <w:r>
        <w:rPr>
          <w:rFonts w:hint="default" w:ascii="Times New Roman" w:hAnsi="Times New Roman" w:eastAsia="仿宋_GB2312" w:cs="Times New Roman"/>
          <w:bCs/>
          <w:color w:val="000000"/>
          <w:sz w:val="32"/>
          <w:szCs w:val="32"/>
        </w:rPr>
        <w:t>法律法规规定的其他情形。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承包人存在下列情形之一的视为违法分包：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Cs/>
          <w:color w:val="000000"/>
          <w:sz w:val="32"/>
          <w:szCs w:val="32"/>
          <w:lang w:eastAsia="zh-CN"/>
        </w:rPr>
      </w:pPr>
      <w:r>
        <w:rPr>
          <w:rFonts w:hint="default" w:ascii="Times New Roman" w:hAnsi="Times New Roman" w:eastAsia="仿宋_GB2312" w:cs="Times New Roman"/>
          <w:bCs/>
          <w:color w:val="000000"/>
          <w:sz w:val="32"/>
          <w:szCs w:val="32"/>
          <w:lang w:eastAsia="zh-CN"/>
        </w:rPr>
        <w:t>（</w:t>
      </w:r>
      <w:r>
        <w:rPr>
          <w:rFonts w:hint="default" w:ascii="Times New Roman" w:hAnsi="Times New Roman" w:eastAsia="仿宋_GB2312" w:cs="Times New Roman"/>
          <w:bCs/>
          <w:color w:val="000000"/>
          <w:sz w:val="32"/>
          <w:szCs w:val="32"/>
          <w:lang w:val="en-US" w:eastAsia="zh-CN"/>
        </w:rPr>
        <w:t>1</w:t>
      </w:r>
      <w:r>
        <w:rPr>
          <w:rFonts w:hint="default" w:ascii="Times New Roman" w:hAnsi="Times New Roman" w:eastAsia="仿宋_GB2312" w:cs="Times New Roman"/>
          <w:bCs/>
          <w:color w:val="000000"/>
          <w:sz w:val="32"/>
          <w:szCs w:val="32"/>
          <w:lang w:eastAsia="zh-CN"/>
        </w:rPr>
        <w:t>）</w:t>
      </w:r>
      <w:r>
        <w:rPr>
          <w:rFonts w:hint="default" w:ascii="Times New Roman" w:hAnsi="Times New Roman" w:eastAsia="仿宋_GB2312" w:cs="Times New Roman"/>
          <w:bCs/>
          <w:color w:val="000000"/>
          <w:sz w:val="32"/>
          <w:szCs w:val="32"/>
        </w:rPr>
        <w:t>将建设工程分包给不具备相应资质条件的单位或个人</w:t>
      </w:r>
      <w:r>
        <w:rPr>
          <w:rFonts w:hint="default" w:ascii="Times New Roman" w:hAnsi="Times New Roman" w:eastAsia="仿宋_GB2312" w:cs="Times New Roman"/>
          <w:bCs/>
          <w:color w:val="000000"/>
          <w:sz w:val="32"/>
          <w:szCs w:val="32"/>
          <w:lang w:eastAsia="zh-CN"/>
        </w:rPr>
        <w:t>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Cs/>
          <w:color w:val="000000"/>
          <w:sz w:val="32"/>
          <w:szCs w:val="32"/>
          <w:lang w:eastAsia="zh-CN"/>
        </w:rPr>
      </w:pPr>
      <w:r>
        <w:rPr>
          <w:rFonts w:hint="default" w:ascii="Times New Roman" w:hAnsi="Times New Roman" w:eastAsia="仿宋_GB2312" w:cs="Times New Roman"/>
          <w:bCs/>
          <w:color w:val="000000"/>
          <w:sz w:val="32"/>
          <w:szCs w:val="32"/>
          <w:lang w:eastAsia="zh-CN"/>
        </w:rPr>
        <w:t>（</w:t>
      </w:r>
      <w:r>
        <w:rPr>
          <w:rFonts w:hint="default" w:ascii="Times New Roman" w:hAnsi="Times New Roman" w:eastAsia="仿宋_GB2312" w:cs="Times New Roman"/>
          <w:bCs/>
          <w:color w:val="000000"/>
          <w:sz w:val="32"/>
          <w:szCs w:val="32"/>
          <w:lang w:val="en-US" w:eastAsia="zh-CN"/>
        </w:rPr>
        <w:t>2</w:t>
      </w:r>
      <w:r>
        <w:rPr>
          <w:rFonts w:hint="default" w:ascii="Times New Roman" w:hAnsi="Times New Roman" w:eastAsia="仿宋_GB2312" w:cs="Times New Roman"/>
          <w:bCs/>
          <w:color w:val="000000"/>
          <w:sz w:val="32"/>
          <w:szCs w:val="32"/>
          <w:lang w:eastAsia="zh-CN"/>
        </w:rPr>
        <w:t>）</w:t>
      </w:r>
      <w:r>
        <w:rPr>
          <w:rFonts w:hint="default" w:ascii="Times New Roman" w:hAnsi="Times New Roman" w:eastAsia="仿宋_GB2312" w:cs="Times New Roman"/>
          <w:bCs/>
          <w:color w:val="000000"/>
          <w:sz w:val="32"/>
          <w:szCs w:val="32"/>
        </w:rPr>
        <w:t>承包合同中没有约定，又未经建设单位书面认可，承包</w:t>
      </w:r>
      <w:r>
        <w:rPr>
          <w:rFonts w:hint="default" w:ascii="Times New Roman" w:hAnsi="Times New Roman" w:eastAsia="仿宋_GB2312" w:cs="Times New Roman"/>
          <w:bCs/>
          <w:color w:val="000000"/>
          <w:sz w:val="32"/>
          <w:szCs w:val="32"/>
          <w:lang w:eastAsia="zh-CN"/>
        </w:rPr>
        <w:t>单位将其承包的部分建设工程交由其他单位完成的；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lang w:eastAsia="zh-CN"/>
        </w:rPr>
        <w:t>（</w:t>
      </w:r>
      <w:r>
        <w:rPr>
          <w:rFonts w:hint="default" w:ascii="Times New Roman" w:hAnsi="Times New Roman" w:eastAsia="仿宋_GB2312" w:cs="Times New Roman"/>
          <w:bCs/>
          <w:color w:val="000000"/>
          <w:sz w:val="32"/>
          <w:szCs w:val="32"/>
          <w:lang w:val="en-US" w:eastAsia="zh-CN"/>
        </w:rPr>
        <w:t>3</w:t>
      </w:r>
      <w:r>
        <w:rPr>
          <w:rFonts w:hint="default" w:ascii="Times New Roman" w:hAnsi="Times New Roman" w:eastAsia="仿宋_GB2312" w:cs="Times New Roman"/>
          <w:bCs/>
          <w:color w:val="000000"/>
          <w:sz w:val="32"/>
          <w:szCs w:val="32"/>
          <w:lang w:eastAsia="zh-CN"/>
        </w:rPr>
        <w:t>）</w:t>
      </w:r>
      <w:r>
        <w:rPr>
          <w:rFonts w:hint="default" w:ascii="Times New Roman" w:hAnsi="Times New Roman" w:eastAsia="仿宋_GB2312" w:cs="Times New Roman"/>
          <w:bCs/>
          <w:color w:val="000000"/>
          <w:sz w:val="32"/>
          <w:szCs w:val="32"/>
        </w:rPr>
        <w:t xml:space="preserve">劳务企业将承包的劳务作业再分包的；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lang w:eastAsia="zh-CN"/>
        </w:rPr>
        <w:t>（</w:t>
      </w:r>
      <w:r>
        <w:rPr>
          <w:rFonts w:hint="default" w:ascii="Times New Roman" w:hAnsi="Times New Roman" w:eastAsia="仿宋_GB2312" w:cs="Times New Roman"/>
          <w:bCs/>
          <w:color w:val="000000"/>
          <w:sz w:val="32"/>
          <w:szCs w:val="32"/>
          <w:lang w:val="en-US" w:eastAsia="zh-CN"/>
        </w:rPr>
        <w:t>4</w:t>
      </w:r>
      <w:r>
        <w:rPr>
          <w:rFonts w:hint="default" w:ascii="Times New Roman" w:hAnsi="Times New Roman" w:eastAsia="仿宋_GB2312" w:cs="Times New Roman"/>
          <w:bCs/>
          <w:color w:val="000000"/>
          <w:sz w:val="32"/>
          <w:szCs w:val="32"/>
          <w:lang w:eastAsia="zh-CN"/>
        </w:rPr>
        <w:t>）</w:t>
      </w:r>
      <w:r>
        <w:rPr>
          <w:rFonts w:hint="default" w:ascii="Times New Roman" w:hAnsi="Times New Roman" w:eastAsia="仿宋_GB2312" w:cs="Times New Roman"/>
          <w:bCs/>
          <w:color w:val="000000"/>
          <w:sz w:val="32"/>
          <w:szCs w:val="32"/>
        </w:rPr>
        <w:t>法律法规规定的其他情形。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（二）检查施工单位主要施工机械设备是否按投标文件、合同规定及工程进度需要及时到位，是否制定科学、合理的月</w:t>
      </w:r>
      <w:r>
        <w:rPr>
          <w:rFonts w:hint="default" w:ascii="Times New Roman" w:hAnsi="Times New Roman" w:eastAsia="仿宋_GB2312" w:cs="Times New Roman"/>
          <w:bCs/>
          <w:color w:val="000000"/>
          <w:sz w:val="32"/>
          <w:szCs w:val="32"/>
          <w:lang w:eastAsia="zh-CN"/>
        </w:rPr>
        <w:t>、</w:t>
      </w:r>
      <w:r>
        <w:rPr>
          <w:rFonts w:hint="default" w:ascii="Times New Roman" w:hAnsi="Times New Roman" w:eastAsia="仿宋_GB2312" w:cs="Times New Roman"/>
          <w:bCs/>
          <w:color w:val="000000"/>
          <w:sz w:val="32"/>
          <w:szCs w:val="32"/>
        </w:rPr>
        <w:t>周工程进度计划并予以落实。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（三）督促监理单位对关键工序、关键部位、隐蔽工程和薄弱环节进行重点监控，对进入现场的材料、构配件和设备进行核查验收，对施工单位报送的工程进度计划和完成工程量进行认真仔细审核。</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（四）检查监理日记、监理例会记录、监理月报及其它监理材料的完整性，以及其它工程施工、监理合同条款的履行情况。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（五）对施工、监理单位人员违规更换、脱离岗位或不认真履行职责等行为，按照招投标文件、合同有关条款及时提出整改意见，并将发现的情况及时以书面形式报告行政主管部门。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第</w:t>
      </w:r>
      <w:r>
        <w:rPr>
          <w:rFonts w:hint="default" w:ascii="Times New Roman" w:hAnsi="Times New Roman" w:eastAsia="仿宋_GB2312" w:cs="Times New Roman"/>
          <w:b w:val="0"/>
          <w:bCs w:val="0"/>
          <w:color w:val="000000"/>
          <w:sz w:val="32"/>
          <w:szCs w:val="32"/>
          <w:lang w:eastAsia="zh-CN"/>
        </w:rPr>
        <w:t>九</w:t>
      </w:r>
      <w:r>
        <w:rPr>
          <w:rFonts w:hint="default" w:ascii="Times New Roman" w:hAnsi="Times New Roman" w:eastAsia="仿宋_GB2312" w:cs="Times New Roman"/>
          <w:b w:val="0"/>
          <w:bCs w:val="0"/>
          <w:color w:val="000000"/>
          <w:sz w:val="32"/>
          <w:szCs w:val="32"/>
        </w:rPr>
        <w:t>条</w:t>
      </w:r>
      <w:r>
        <w:rPr>
          <w:rFonts w:hint="default" w:ascii="Times New Roman" w:hAnsi="Times New Roman" w:eastAsia="仿宋_GB2312" w:cs="Times New Roman"/>
          <w:b/>
          <w:bCs/>
          <w:color w:val="000000"/>
          <w:sz w:val="32"/>
          <w:szCs w:val="32"/>
        </w:rPr>
        <w:t>　</w:t>
      </w:r>
      <w:r>
        <w:rPr>
          <w:rFonts w:hint="default" w:ascii="Times New Roman" w:hAnsi="Times New Roman" w:eastAsia="仿宋_GB2312" w:cs="Times New Roman"/>
          <w:b w:val="0"/>
          <w:bCs w:val="0"/>
          <w:color w:val="000000"/>
          <w:sz w:val="32"/>
          <w:szCs w:val="32"/>
        </w:rPr>
        <w:t>区城建、交运、水务等行政主管部门应当切实加强工程项目标后的监督检查，检查的主要内容有：建设单位的主体责任履行情况；施工、监理单位的项目部人员到岗及履职情况；工程分包及主要施工机械设备到位情况；工程质量、安全情况；农民工工资发放等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在标后监督管理中发现施工、监理单位有下列行为之一的， 除依照有关法律、法规规定进行处罚外，应将其不良行为记入企业信用档案，并视情节作出相应的惩戒措施：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（一）施工单位有转包、违法分包行为的；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（二）现场施工管理人员、监理人员与中标承诺不一致且未按规定办理变更手续的；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（三）投标文件承诺的大型机械设备没有进入施工现场的；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（四）施工、监理单位串通，签认虚假工程量或工程造价的；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（五）现场管理混乱，不配合检查，不能及时出示相关现场管理资料的；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（六）其它违反法律、法规及规定的。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第十条　建设工程项目实行违约清场制度。建设单位在招标文件和施工、委托监理合同中应明确施工、监理单位有下列情形之一拒不整改或整改后仍不符合要求的，建设单位可以解除合同，责令其限期清场，及时办理已完工程质量验收和工程价款清算，并按合同约定追究相应责任，同时告知行业行政主管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（一）施工、监理单位发生挂靠、转包、违法分包的；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（二）由于施工单位原因造成计划工期进度延误 3 个月的；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（三）施工、监理单位拒不履行投标承诺及合同主要义务，导致不能实现合同目的的；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（四）非建设单位原因，施工单位连续两个月以上不按规定发放工人工资的；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（五）已经完成的分部分项工程质量验收不合格拒不返工或多次返工后仍不合格的；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（六）对重大事故隐患不按规定及时消除的，或者被检查出事故隐患不及时整改到位的；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lang w:eastAsia="zh-CN"/>
        </w:rPr>
        <w:t>（七）</w:t>
      </w:r>
      <w:r>
        <w:rPr>
          <w:rFonts w:hint="default" w:ascii="Times New Roman" w:hAnsi="Times New Roman" w:eastAsia="仿宋_GB2312" w:cs="Times New Roman"/>
          <w:b w:val="0"/>
          <w:bCs w:val="0"/>
          <w:color w:val="000000"/>
          <w:sz w:val="32"/>
          <w:szCs w:val="32"/>
        </w:rPr>
        <w:t>其他严重违法违规行为需要清场的。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color w:val="00000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eastAsia="zh-CN"/>
        </w:rPr>
        <w:t>第三章</w:t>
      </w:r>
      <w:r>
        <w:rPr>
          <w:rFonts w:hint="eastAsia" w:ascii="黑体" w:hAnsi="黑体" w:eastAsia="黑体" w:cs="黑体"/>
          <w:b w:val="0"/>
          <w:bCs w:val="0"/>
          <w:color w:val="000000"/>
          <w:sz w:val="32"/>
          <w:szCs w:val="32"/>
          <w:lang w:val="en-US" w:eastAsia="zh-CN"/>
        </w:rPr>
        <w:t xml:space="preserve">  项目变更和资金管理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val="0"/>
          <w:bCs w:val="0"/>
          <w:color w:val="000000"/>
          <w:sz w:val="32"/>
          <w:szCs w:val="32"/>
        </w:rPr>
        <w:t>第十</w:t>
      </w:r>
      <w:r>
        <w:rPr>
          <w:rFonts w:hint="default" w:ascii="Times New Roman" w:hAnsi="Times New Roman" w:eastAsia="仿宋_GB2312" w:cs="Times New Roman"/>
          <w:b w:val="0"/>
          <w:bCs w:val="0"/>
          <w:color w:val="000000"/>
          <w:sz w:val="32"/>
          <w:szCs w:val="32"/>
          <w:lang w:eastAsia="zh-CN"/>
        </w:rPr>
        <w:t>一</w:t>
      </w:r>
      <w:r>
        <w:rPr>
          <w:rFonts w:hint="default" w:ascii="Times New Roman" w:hAnsi="Times New Roman" w:eastAsia="仿宋_GB2312" w:cs="Times New Roman"/>
          <w:b w:val="0"/>
          <w:bCs w:val="0"/>
          <w:color w:val="000000"/>
          <w:sz w:val="32"/>
          <w:szCs w:val="32"/>
        </w:rPr>
        <w:t>条</w:t>
      </w:r>
      <w:r>
        <w:rPr>
          <w:rFonts w:hint="default" w:ascii="Times New Roman" w:hAnsi="Times New Roman" w:eastAsia="仿宋_GB2312" w:cs="Times New Roman"/>
          <w:color w:val="000000"/>
          <w:sz w:val="32"/>
          <w:szCs w:val="32"/>
        </w:rPr>
        <w:t xml:space="preserve">  建设工程项目如无不可抗拒因素不得变更，如需变更须履行相关程序，且实行行政一把手终身负责制。建设单位对工程变更事项的真实性和合理性负责。工程施工招标前，应仔细审阅地勘报告、施工图、踏勘现场、测算潜在性或辅助性工程，使招标内容最大限度地符合实际施工要求。在工程变更提出后，应及时组织勘察、设计、施工、监理、造价咨询等单位对变更意见进行内部审核，必要时应组织有关专家对变更事项进行论证，明确变更责任，提出分类处置意见。经充分核实后认为确有必要的，如实填写《国有投资项目变更方案报告》（附件），经建设单位法定代表人签字盖章后报区发改</w:t>
      </w:r>
      <w:r>
        <w:rPr>
          <w:rFonts w:hint="default" w:ascii="Times New Roman" w:hAnsi="Times New Roman" w:eastAsia="仿宋_GB2312" w:cs="Times New Roman"/>
          <w:color w:val="000000"/>
          <w:sz w:val="32"/>
          <w:szCs w:val="32"/>
          <w:lang w:eastAsia="zh-CN"/>
        </w:rPr>
        <w:t>委</w:t>
      </w:r>
      <w:r>
        <w:rPr>
          <w:rFonts w:hint="default" w:ascii="Times New Roman" w:hAnsi="Times New Roman" w:eastAsia="仿宋_GB2312" w:cs="Times New Roman"/>
          <w:color w:val="000000"/>
          <w:sz w:val="32"/>
          <w:szCs w:val="32"/>
        </w:rPr>
        <w:t>按程序办理。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第十</w:t>
      </w:r>
      <w:r>
        <w:rPr>
          <w:rFonts w:hint="default" w:ascii="Times New Roman" w:hAnsi="Times New Roman" w:eastAsia="仿宋_GB2312" w:cs="Times New Roman"/>
          <w:b w:val="0"/>
          <w:bCs w:val="0"/>
          <w:color w:val="000000"/>
          <w:sz w:val="32"/>
          <w:szCs w:val="32"/>
          <w:lang w:eastAsia="zh-CN"/>
        </w:rPr>
        <w:t>二</w:t>
      </w:r>
      <w:r>
        <w:rPr>
          <w:rFonts w:hint="default" w:ascii="Times New Roman" w:hAnsi="Times New Roman" w:eastAsia="仿宋_GB2312" w:cs="Times New Roman"/>
          <w:b w:val="0"/>
          <w:bCs w:val="0"/>
          <w:color w:val="000000"/>
          <w:sz w:val="32"/>
          <w:szCs w:val="32"/>
        </w:rPr>
        <w:t>条</w:t>
      </w:r>
      <w:r>
        <w:rPr>
          <w:rFonts w:hint="default" w:ascii="Times New Roman" w:hAnsi="Times New Roman" w:eastAsia="仿宋_GB2312" w:cs="Times New Roman"/>
          <w:b/>
          <w:bCs/>
          <w:color w:val="000000"/>
          <w:sz w:val="32"/>
          <w:szCs w:val="32"/>
        </w:rPr>
        <w:t>　</w:t>
      </w:r>
      <w:r>
        <w:rPr>
          <w:rFonts w:hint="default" w:ascii="Times New Roman" w:hAnsi="Times New Roman" w:eastAsia="仿宋_GB2312" w:cs="Times New Roman"/>
          <w:b w:val="0"/>
          <w:bCs w:val="0"/>
          <w:color w:val="000000"/>
          <w:sz w:val="32"/>
          <w:szCs w:val="32"/>
        </w:rPr>
        <w:t>因工程变更需增加合同约定以外的其他建设内容，增加部分达到法定招标条件、对本工程的进度质量或者功能配套要求不构成严重影响的，建设单位应单独组织招标。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val="0"/>
          <w:bCs w:val="0"/>
          <w:color w:val="000000"/>
          <w:sz w:val="32"/>
          <w:szCs w:val="32"/>
        </w:rPr>
        <w:t>第十</w:t>
      </w:r>
      <w:r>
        <w:rPr>
          <w:rFonts w:hint="default" w:ascii="Times New Roman" w:hAnsi="Times New Roman" w:eastAsia="仿宋_GB2312" w:cs="Times New Roman"/>
          <w:b w:val="0"/>
          <w:bCs w:val="0"/>
          <w:color w:val="000000"/>
          <w:sz w:val="32"/>
          <w:szCs w:val="32"/>
          <w:lang w:eastAsia="zh-CN"/>
        </w:rPr>
        <w:t>三</w:t>
      </w:r>
      <w:r>
        <w:rPr>
          <w:rFonts w:hint="default" w:ascii="Times New Roman" w:hAnsi="Times New Roman" w:eastAsia="仿宋_GB2312" w:cs="Times New Roman"/>
          <w:b w:val="0"/>
          <w:bCs w:val="0"/>
          <w:color w:val="000000"/>
          <w:sz w:val="32"/>
          <w:szCs w:val="32"/>
        </w:rPr>
        <w:t xml:space="preserve">条  </w:t>
      </w:r>
      <w:r>
        <w:rPr>
          <w:rFonts w:hint="default" w:ascii="Times New Roman" w:hAnsi="Times New Roman" w:eastAsia="仿宋_GB2312" w:cs="Times New Roman"/>
          <w:color w:val="000000"/>
          <w:sz w:val="32"/>
          <w:szCs w:val="32"/>
        </w:rPr>
        <w:t>工程变更建立联审会议制度，联审会议成员单位由区发改、财政、审计、城建、行政审批、建设单位及相关单位组成，由区发改</w:t>
      </w:r>
      <w:r>
        <w:rPr>
          <w:rFonts w:hint="default" w:ascii="Times New Roman" w:hAnsi="Times New Roman" w:eastAsia="仿宋_GB2312" w:cs="Times New Roman"/>
          <w:color w:val="000000"/>
          <w:sz w:val="32"/>
          <w:szCs w:val="32"/>
          <w:lang w:eastAsia="zh-CN"/>
        </w:rPr>
        <w:t>委</w:t>
      </w:r>
      <w:r>
        <w:rPr>
          <w:rFonts w:hint="default" w:ascii="Times New Roman" w:hAnsi="Times New Roman" w:eastAsia="仿宋_GB2312" w:cs="Times New Roman"/>
          <w:color w:val="000000"/>
          <w:sz w:val="32"/>
          <w:szCs w:val="32"/>
        </w:rPr>
        <w:t>牵头召集区级联审成员单位对变更方案进行审查，必要时组织召开专家评审会，出具审查意见书。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第</w:t>
      </w:r>
      <w:r>
        <w:rPr>
          <w:rFonts w:hint="default" w:ascii="Times New Roman" w:hAnsi="Times New Roman" w:eastAsia="仿宋_GB2312" w:cs="Times New Roman"/>
          <w:b w:val="0"/>
          <w:bCs w:val="0"/>
          <w:color w:val="000000"/>
          <w:sz w:val="32"/>
          <w:szCs w:val="32"/>
          <w:lang w:eastAsia="zh-CN"/>
        </w:rPr>
        <w:t>十四</w:t>
      </w:r>
      <w:r>
        <w:rPr>
          <w:rFonts w:hint="default" w:ascii="Times New Roman" w:hAnsi="Times New Roman" w:eastAsia="仿宋_GB2312" w:cs="Times New Roman"/>
          <w:b w:val="0"/>
          <w:bCs w:val="0"/>
          <w:color w:val="000000"/>
          <w:sz w:val="32"/>
          <w:szCs w:val="32"/>
        </w:rPr>
        <w:t>条</w:t>
      </w:r>
      <w:r>
        <w:rPr>
          <w:rFonts w:hint="default" w:ascii="Times New Roman" w:hAnsi="Times New Roman" w:eastAsia="仿宋_GB2312" w:cs="Times New Roman"/>
          <w:b/>
          <w:bCs/>
          <w:color w:val="000000"/>
          <w:sz w:val="32"/>
          <w:szCs w:val="32"/>
        </w:rPr>
        <w:t xml:space="preserve">  </w:t>
      </w:r>
      <w:r>
        <w:rPr>
          <w:rFonts w:hint="default" w:ascii="Times New Roman" w:hAnsi="Times New Roman" w:eastAsia="仿宋_GB2312" w:cs="Times New Roman"/>
          <w:b w:val="0"/>
          <w:bCs w:val="0"/>
          <w:color w:val="000000"/>
          <w:sz w:val="32"/>
          <w:szCs w:val="32"/>
        </w:rPr>
        <w:t>建设工程项目根据工程变更引起费用变动的大小，按照以下情况进行报批：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（一）单次变更增加额 300 万元（含）以上的，由区发改</w:t>
      </w:r>
      <w:r>
        <w:rPr>
          <w:rFonts w:hint="default" w:ascii="Times New Roman" w:hAnsi="Times New Roman" w:eastAsia="仿宋_GB2312" w:cs="Times New Roman"/>
          <w:b w:val="0"/>
          <w:bCs w:val="0"/>
          <w:color w:val="000000"/>
          <w:sz w:val="32"/>
          <w:szCs w:val="32"/>
          <w:lang w:eastAsia="zh-CN"/>
        </w:rPr>
        <w:t>委</w:t>
      </w:r>
      <w:r>
        <w:rPr>
          <w:rFonts w:hint="default" w:ascii="Times New Roman" w:hAnsi="Times New Roman" w:eastAsia="仿宋_GB2312" w:cs="Times New Roman"/>
          <w:b w:val="0"/>
          <w:bCs w:val="0"/>
          <w:color w:val="000000"/>
          <w:sz w:val="32"/>
          <w:szCs w:val="32"/>
        </w:rPr>
        <w:t>牵头组织联审会议共同研究并形成意见，经项目的行业分管区领导审查后提请区政府常务会议（或区长办公会）批准；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（二）单次变更增加额在 300 万元－30 万元（含）的，由区发改</w:t>
      </w:r>
      <w:r>
        <w:rPr>
          <w:rFonts w:hint="default" w:ascii="Times New Roman" w:hAnsi="Times New Roman" w:eastAsia="仿宋_GB2312" w:cs="Times New Roman"/>
          <w:b w:val="0"/>
          <w:bCs w:val="0"/>
          <w:color w:val="000000"/>
          <w:sz w:val="32"/>
          <w:szCs w:val="32"/>
          <w:lang w:eastAsia="zh-CN"/>
        </w:rPr>
        <w:t>委</w:t>
      </w:r>
      <w:r>
        <w:rPr>
          <w:rFonts w:hint="default" w:ascii="Times New Roman" w:hAnsi="Times New Roman" w:eastAsia="仿宋_GB2312" w:cs="Times New Roman"/>
          <w:b w:val="0"/>
          <w:bCs w:val="0"/>
          <w:color w:val="000000"/>
          <w:sz w:val="32"/>
          <w:szCs w:val="32"/>
        </w:rPr>
        <w:t>牵头组织联审会议共同研究并形成意见，报区政府分管（条口）领导批准；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（三）单次变更增加额 30 万元以下的，由建设单位按规定报区发改</w:t>
      </w:r>
      <w:r>
        <w:rPr>
          <w:rFonts w:hint="default" w:ascii="Times New Roman" w:hAnsi="Times New Roman" w:eastAsia="仿宋_GB2312" w:cs="Times New Roman"/>
          <w:b w:val="0"/>
          <w:bCs w:val="0"/>
          <w:color w:val="000000"/>
          <w:sz w:val="32"/>
          <w:szCs w:val="32"/>
          <w:lang w:eastAsia="zh-CN"/>
        </w:rPr>
        <w:t>委</w:t>
      </w:r>
      <w:r>
        <w:rPr>
          <w:rFonts w:hint="default" w:ascii="Times New Roman" w:hAnsi="Times New Roman" w:eastAsia="仿宋_GB2312" w:cs="Times New Roman"/>
          <w:b w:val="0"/>
          <w:bCs w:val="0"/>
          <w:color w:val="000000"/>
          <w:sz w:val="32"/>
          <w:szCs w:val="32"/>
        </w:rPr>
        <w:t>备案。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color w:val="000000"/>
          <w:sz w:val="32"/>
          <w:szCs w:val="32"/>
          <w:lang w:eastAsia="zh-CN"/>
        </w:rPr>
      </w:pPr>
      <w:r>
        <w:rPr>
          <w:rFonts w:hint="default" w:ascii="Times New Roman" w:hAnsi="Times New Roman" w:eastAsia="仿宋_GB2312" w:cs="Times New Roman"/>
          <w:b w:val="0"/>
          <w:bCs w:val="0"/>
          <w:color w:val="000000"/>
          <w:sz w:val="32"/>
          <w:szCs w:val="32"/>
        </w:rPr>
        <w:t>工程变更原则上不得超过 3 次（含），工程竣工后，累计变更增加额超过合同价 10%（含）以上的，建设单位需编制完整的工程变更材料报区发改</w:t>
      </w:r>
      <w:r>
        <w:rPr>
          <w:rFonts w:hint="default" w:ascii="Times New Roman" w:hAnsi="Times New Roman" w:eastAsia="仿宋_GB2312" w:cs="Times New Roman"/>
          <w:b w:val="0"/>
          <w:bCs w:val="0"/>
          <w:color w:val="000000"/>
          <w:sz w:val="32"/>
          <w:szCs w:val="32"/>
          <w:lang w:eastAsia="zh-CN"/>
        </w:rPr>
        <w:t>委</w:t>
      </w:r>
      <w:r>
        <w:rPr>
          <w:rFonts w:hint="default" w:ascii="Times New Roman" w:hAnsi="Times New Roman" w:eastAsia="仿宋_GB2312" w:cs="Times New Roman"/>
          <w:b w:val="0"/>
          <w:bCs w:val="0"/>
          <w:color w:val="000000"/>
          <w:sz w:val="32"/>
          <w:szCs w:val="32"/>
        </w:rPr>
        <w:t>核查，核查结果反馈后，方可出具审计报告</w:t>
      </w:r>
      <w:r>
        <w:rPr>
          <w:rFonts w:hint="default" w:ascii="Times New Roman" w:hAnsi="Times New Roman" w:eastAsia="仿宋_GB2312" w:cs="Times New Roman"/>
          <w:b w:val="0"/>
          <w:bCs w:val="0"/>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第十</w:t>
      </w:r>
      <w:r>
        <w:rPr>
          <w:rFonts w:hint="default" w:ascii="Times New Roman" w:hAnsi="Times New Roman" w:eastAsia="仿宋_GB2312" w:cs="Times New Roman"/>
          <w:b w:val="0"/>
          <w:bCs w:val="0"/>
          <w:color w:val="000000"/>
          <w:sz w:val="32"/>
          <w:szCs w:val="32"/>
          <w:lang w:eastAsia="zh-CN"/>
        </w:rPr>
        <w:t>五</w:t>
      </w:r>
      <w:r>
        <w:rPr>
          <w:rFonts w:hint="default" w:ascii="Times New Roman" w:hAnsi="Times New Roman" w:eastAsia="仿宋_GB2312" w:cs="Times New Roman"/>
          <w:b w:val="0"/>
          <w:bCs w:val="0"/>
          <w:color w:val="000000"/>
          <w:sz w:val="32"/>
          <w:szCs w:val="32"/>
        </w:rPr>
        <w:t>条</w:t>
      </w:r>
      <w:r>
        <w:rPr>
          <w:rFonts w:hint="default" w:ascii="Times New Roman" w:hAnsi="Times New Roman" w:eastAsia="仿宋_GB2312" w:cs="Times New Roman"/>
          <w:b/>
          <w:bCs/>
          <w:color w:val="000000"/>
          <w:sz w:val="32"/>
          <w:szCs w:val="32"/>
        </w:rPr>
        <w:t xml:space="preserve"> </w:t>
      </w:r>
      <w:r>
        <w:rPr>
          <w:rFonts w:hint="default" w:ascii="Times New Roman" w:hAnsi="Times New Roman" w:eastAsia="仿宋_GB2312" w:cs="Times New Roman"/>
          <w:b/>
          <w:bCs/>
          <w:color w:val="000000"/>
          <w:sz w:val="32"/>
          <w:szCs w:val="32"/>
          <w:lang w:val="en-US" w:eastAsia="zh-CN"/>
        </w:rPr>
        <w:t xml:space="preserve"> </w:t>
      </w:r>
      <w:r>
        <w:rPr>
          <w:rFonts w:hint="default" w:ascii="Times New Roman" w:hAnsi="Times New Roman" w:eastAsia="仿宋_GB2312" w:cs="Times New Roman"/>
          <w:b w:val="0"/>
          <w:bCs w:val="0"/>
          <w:color w:val="000000"/>
          <w:sz w:val="32"/>
          <w:szCs w:val="32"/>
        </w:rPr>
        <w:t>工程变更应遵循先审批、后实施的原则。除应急、抢险、突发事件或因报批停工将导致工程质量、安全、工期受到严重影响的特殊情况外，未经批准已经实施的工程变更不予认可。当变更特殊情况发生时，项目负责人应征得建设单位主管领导同意后主持项目变更工作，并于开始变更后 15 日内补报有关变更手续。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val="0"/>
          <w:bCs w:val="0"/>
          <w:color w:val="000000"/>
          <w:sz w:val="32"/>
          <w:szCs w:val="32"/>
        </w:rPr>
        <w:t>第十</w:t>
      </w:r>
      <w:r>
        <w:rPr>
          <w:rFonts w:hint="default" w:ascii="Times New Roman" w:hAnsi="Times New Roman" w:eastAsia="仿宋_GB2312" w:cs="Times New Roman"/>
          <w:b w:val="0"/>
          <w:bCs w:val="0"/>
          <w:color w:val="000000"/>
          <w:sz w:val="32"/>
          <w:szCs w:val="32"/>
          <w:lang w:eastAsia="zh-CN"/>
        </w:rPr>
        <w:t>六</w:t>
      </w:r>
      <w:r>
        <w:rPr>
          <w:rFonts w:hint="default" w:ascii="Times New Roman" w:hAnsi="Times New Roman" w:eastAsia="仿宋_GB2312" w:cs="Times New Roman"/>
          <w:b w:val="0"/>
          <w:bCs w:val="0"/>
          <w:color w:val="000000"/>
          <w:sz w:val="32"/>
          <w:szCs w:val="32"/>
        </w:rPr>
        <w:t>条</w:t>
      </w:r>
      <w:r>
        <w:rPr>
          <w:rFonts w:hint="default" w:ascii="Times New Roman" w:hAnsi="Times New Roman" w:eastAsia="仿宋_GB2312" w:cs="Times New Roman"/>
          <w:color w:val="000000"/>
          <w:sz w:val="32"/>
          <w:szCs w:val="32"/>
        </w:rPr>
        <w:t xml:space="preserve"> </w:t>
      </w:r>
      <w:r>
        <w:rPr>
          <w:rFonts w:hint="default" w:ascii="Times New Roman" w:hAnsi="Times New Roman" w:eastAsia="仿宋_GB2312" w:cs="Times New Roman"/>
          <w:color w:val="000000"/>
          <w:sz w:val="32"/>
          <w:szCs w:val="32"/>
          <w:lang w:val="en-US" w:eastAsia="zh-CN"/>
        </w:rPr>
        <w:t xml:space="preserve"> </w:t>
      </w:r>
      <w:r>
        <w:rPr>
          <w:rFonts w:hint="default" w:ascii="Times New Roman" w:hAnsi="Times New Roman" w:eastAsia="仿宋_GB2312" w:cs="Times New Roman"/>
          <w:color w:val="000000"/>
          <w:sz w:val="32"/>
          <w:szCs w:val="32"/>
        </w:rPr>
        <w:t>未经建设单位同意施工单位擅自变更的，监理、跟踪审计、建设单位不予计量核产和支付，并责令其按原设计施工，造成的损失由其承担。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val="0"/>
          <w:bCs w:val="0"/>
          <w:color w:val="000000"/>
          <w:sz w:val="32"/>
          <w:szCs w:val="32"/>
        </w:rPr>
        <w:t>第十</w:t>
      </w:r>
      <w:r>
        <w:rPr>
          <w:rFonts w:hint="default" w:ascii="Times New Roman" w:hAnsi="Times New Roman" w:eastAsia="仿宋_GB2312" w:cs="Times New Roman"/>
          <w:b w:val="0"/>
          <w:bCs w:val="0"/>
          <w:color w:val="000000"/>
          <w:sz w:val="32"/>
          <w:szCs w:val="32"/>
          <w:lang w:eastAsia="zh-CN"/>
        </w:rPr>
        <w:t>七</w:t>
      </w:r>
      <w:r>
        <w:rPr>
          <w:rFonts w:hint="default" w:ascii="Times New Roman" w:hAnsi="Times New Roman" w:eastAsia="仿宋_GB2312" w:cs="Times New Roman"/>
          <w:b w:val="0"/>
          <w:bCs w:val="0"/>
          <w:color w:val="000000"/>
          <w:sz w:val="32"/>
          <w:szCs w:val="32"/>
        </w:rPr>
        <w:t>条</w:t>
      </w:r>
      <w:r>
        <w:rPr>
          <w:rFonts w:hint="default" w:ascii="Times New Roman" w:hAnsi="Times New Roman" w:eastAsia="仿宋_GB2312" w:cs="Times New Roman"/>
          <w:b/>
          <w:bCs/>
          <w:color w:val="000000"/>
          <w:sz w:val="32"/>
          <w:szCs w:val="32"/>
        </w:rPr>
        <w:t xml:space="preserve"> </w:t>
      </w:r>
      <w:r>
        <w:rPr>
          <w:rFonts w:hint="default" w:ascii="Times New Roman" w:hAnsi="Times New Roman" w:eastAsia="仿宋_GB2312" w:cs="Times New Roman"/>
          <w:color w:val="000000"/>
          <w:sz w:val="32"/>
          <w:szCs w:val="32"/>
        </w:rPr>
        <w:t xml:space="preserve"> 因下列原因造成的工程变更，由建设单位在相应的合同中约定扣减其服务费，并将其不良行为报招投标领导小组，视情节作出相应的惩戒措施：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（一）实际地质情况与勘察报告不符、违反工程建设强制性标准等勘察失误；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（二）擅自向建设单位提供与规划许可要求不符的施工图纸、未经批准擅自出具设计变更文件或联系单、设计文件遗漏、错误和不合理等设计质量问题；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三）招标代理过程中履职不到位，未仔细审阅勘察报告、施工图及施工说明、未仔细踏勘现场、未考虑工程实施过程中的措施性工程或辅助性工程等而导致增加工程子目或工程造价、弄虚作假、工程量清单或招标控制价编制出现错漏项、计算错误等代理行为缺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第</w:t>
      </w:r>
      <w:r>
        <w:rPr>
          <w:rFonts w:hint="default" w:ascii="Times New Roman" w:hAnsi="Times New Roman" w:eastAsia="仿宋_GB2312" w:cs="Times New Roman"/>
          <w:b w:val="0"/>
          <w:bCs w:val="0"/>
          <w:color w:val="000000"/>
          <w:sz w:val="32"/>
          <w:szCs w:val="32"/>
          <w:lang w:eastAsia="zh-CN"/>
        </w:rPr>
        <w:t>十八</w:t>
      </w:r>
      <w:r>
        <w:rPr>
          <w:rFonts w:hint="default" w:ascii="Times New Roman" w:hAnsi="Times New Roman" w:eastAsia="仿宋_GB2312" w:cs="Times New Roman"/>
          <w:b w:val="0"/>
          <w:bCs w:val="0"/>
          <w:color w:val="000000"/>
          <w:sz w:val="32"/>
          <w:szCs w:val="32"/>
        </w:rPr>
        <w:t>条</w:t>
      </w:r>
      <w:r>
        <w:rPr>
          <w:rFonts w:hint="default" w:ascii="Times New Roman" w:hAnsi="Times New Roman" w:eastAsia="仿宋_GB2312" w:cs="Times New Roman"/>
          <w:b/>
          <w:bCs/>
          <w:color w:val="000000"/>
          <w:sz w:val="32"/>
          <w:szCs w:val="32"/>
        </w:rPr>
        <w:t xml:space="preserve"> </w:t>
      </w:r>
      <w:r>
        <w:rPr>
          <w:rFonts w:hint="default" w:ascii="Times New Roman" w:hAnsi="Times New Roman" w:eastAsia="仿宋_GB2312" w:cs="Times New Roman"/>
          <w:b w:val="0"/>
          <w:bCs w:val="0"/>
          <w:color w:val="000000"/>
          <w:sz w:val="32"/>
          <w:szCs w:val="32"/>
        </w:rPr>
        <w:t>政府投资项目实行必审制度，投资额 5000 万元及以上和重大民生工程实行跟踪审计。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val="0"/>
          <w:bCs w:val="0"/>
          <w:color w:val="000000"/>
          <w:sz w:val="32"/>
          <w:szCs w:val="32"/>
        </w:rPr>
        <w:t>第</w:t>
      </w:r>
      <w:r>
        <w:rPr>
          <w:rFonts w:hint="default" w:ascii="Times New Roman" w:hAnsi="Times New Roman" w:eastAsia="仿宋_GB2312" w:cs="Times New Roman"/>
          <w:b w:val="0"/>
          <w:bCs w:val="0"/>
          <w:color w:val="000000"/>
          <w:sz w:val="32"/>
          <w:szCs w:val="32"/>
          <w:lang w:eastAsia="zh-CN"/>
        </w:rPr>
        <w:t>十九</w:t>
      </w:r>
      <w:r>
        <w:rPr>
          <w:rFonts w:hint="default" w:ascii="Times New Roman" w:hAnsi="Times New Roman" w:eastAsia="仿宋_GB2312" w:cs="Times New Roman"/>
          <w:b w:val="0"/>
          <w:bCs w:val="0"/>
          <w:color w:val="000000"/>
          <w:sz w:val="32"/>
          <w:szCs w:val="32"/>
        </w:rPr>
        <w:t>条</w:t>
      </w:r>
      <w:r>
        <w:rPr>
          <w:rFonts w:hint="default" w:ascii="Times New Roman" w:hAnsi="Times New Roman" w:eastAsia="仿宋_GB2312" w:cs="Times New Roman"/>
          <w:color w:val="000000"/>
          <w:sz w:val="32"/>
          <w:szCs w:val="32"/>
        </w:rPr>
        <w:t xml:space="preserve">  工程款支付实行主要领导负责制，违规付款按照谁签字谁负责的原则予以追缴。建设单位在工程建设中存在违法违规行为的，相关部门将停止工程款拨付，直至完全整改到位；施工单位存在转包、违法分包等违法违规行为的，一律停止支付工程款；因施工单位原因延误工期、出现工程质量问题或材料（设备）不符合要求等情况的，建设单位应严格按照合同要求扣除相应款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eastAsia="zh-CN"/>
        </w:rPr>
        <w:t>第四章</w:t>
      </w:r>
      <w:r>
        <w:rPr>
          <w:rFonts w:hint="eastAsia" w:ascii="黑体" w:hAnsi="黑体" w:eastAsia="黑体" w:cs="黑体"/>
          <w:b w:val="0"/>
          <w:bCs w:val="0"/>
          <w:color w:val="000000"/>
          <w:sz w:val="32"/>
          <w:szCs w:val="32"/>
          <w:lang w:val="en-US" w:eastAsia="zh-CN"/>
        </w:rPr>
        <w:t xml:space="preserve">   责任追究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val="0"/>
          <w:bCs w:val="0"/>
          <w:color w:val="000000"/>
          <w:sz w:val="32"/>
          <w:szCs w:val="32"/>
        </w:rPr>
        <w:t>第二十条</w:t>
      </w:r>
      <w:r>
        <w:rPr>
          <w:rFonts w:hint="default" w:ascii="Times New Roman" w:hAnsi="Times New Roman" w:eastAsia="仿宋_GB2312" w:cs="Times New Roman"/>
          <w:color w:val="000000"/>
          <w:sz w:val="32"/>
          <w:szCs w:val="32"/>
        </w:rPr>
        <w:t xml:space="preserve"> 相关建设单位和行业行政主管部门在工程建设项目中必须履行相应标后监管职责，不正确履职或履职不到位的，将依法依纪追究相应责任。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val="0"/>
          <w:bCs w:val="0"/>
          <w:color w:val="000000"/>
          <w:sz w:val="32"/>
          <w:szCs w:val="32"/>
        </w:rPr>
        <w:t>第二十</w:t>
      </w:r>
      <w:r>
        <w:rPr>
          <w:rFonts w:hint="default" w:ascii="Times New Roman" w:hAnsi="Times New Roman" w:eastAsia="仿宋_GB2312" w:cs="Times New Roman"/>
          <w:b w:val="0"/>
          <w:bCs w:val="0"/>
          <w:color w:val="000000"/>
          <w:sz w:val="32"/>
          <w:szCs w:val="32"/>
          <w:lang w:eastAsia="zh-CN"/>
        </w:rPr>
        <w:t>一</w:t>
      </w:r>
      <w:r>
        <w:rPr>
          <w:rFonts w:hint="default" w:ascii="Times New Roman" w:hAnsi="Times New Roman" w:eastAsia="仿宋_GB2312" w:cs="Times New Roman"/>
          <w:b w:val="0"/>
          <w:bCs w:val="0"/>
          <w:color w:val="000000"/>
          <w:sz w:val="32"/>
          <w:szCs w:val="32"/>
        </w:rPr>
        <w:t>条</w:t>
      </w:r>
      <w:r>
        <w:rPr>
          <w:rFonts w:hint="default" w:ascii="Times New Roman" w:hAnsi="Times New Roman" w:eastAsia="仿宋_GB2312" w:cs="Times New Roman"/>
          <w:color w:val="000000"/>
          <w:sz w:val="32"/>
          <w:szCs w:val="32"/>
        </w:rPr>
        <w:t xml:space="preserve">  建设单位未加强工程变更控制的（审定数，政策性调整除外）将予以责任追究：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（一）累计变更增加额超过合同价 10%（含）以上且累计变更增加额在 100 万元（含）-600 万元的，由区分管领导对建设单位的主要领导、分管领导给予诫勉谈话。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（二）累计变更增加额超过合同价 10%（含）以上且累计变更增加额在 600 万元（含）以上的，由招投标领导小组对责任单位给予通报批评，主管部门在当年的工作目标考核中作相应扣分。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color w:val="000000"/>
          <w:sz w:val="32"/>
          <w:szCs w:val="32"/>
          <w:lang w:val="en-US" w:eastAsia="zh-CN"/>
        </w:rPr>
      </w:pPr>
      <w:r>
        <w:rPr>
          <w:rFonts w:hint="default" w:ascii="Times New Roman" w:hAnsi="Times New Roman" w:eastAsia="仿宋_GB2312" w:cs="Times New Roman"/>
          <w:color w:val="000000"/>
          <w:sz w:val="32"/>
          <w:szCs w:val="32"/>
        </w:rPr>
        <w:t>（三）建设过程中的工程变更应报未报的或有其他违反规定行为情节严重的，对相关责任人员移送有关职能部门进行查处。</w:t>
      </w:r>
      <w:r>
        <w:rPr>
          <w:rFonts w:hint="default" w:ascii="Times New Roman" w:hAnsi="Times New Roman" w:eastAsia="仿宋_GB2312" w:cs="Times New Roman"/>
          <w:b w:val="0"/>
          <w:bCs w:val="0"/>
          <w:color w:val="000000"/>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eastAsia="zh-CN"/>
        </w:rPr>
        <w:t>第五章</w:t>
      </w:r>
      <w:r>
        <w:rPr>
          <w:rFonts w:hint="eastAsia" w:ascii="黑体" w:hAnsi="黑体" w:eastAsia="黑体" w:cs="黑体"/>
          <w:b w:val="0"/>
          <w:bCs w:val="0"/>
          <w:color w:val="000000"/>
          <w:sz w:val="32"/>
          <w:szCs w:val="32"/>
          <w:lang w:val="en-US" w:eastAsia="zh-CN"/>
        </w:rPr>
        <w:t xml:space="preserve">    附  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color w:val="000000"/>
          <w:sz w:val="32"/>
          <w:szCs w:val="32"/>
          <w:lang w:val="en-US" w:eastAsia="zh-CN"/>
        </w:rPr>
      </w:pPr>
      <w:r>
        <w:rPr>
          <w:rFonts w:hint="default" w:ascii="Times New Roman" w:hAnsi="Times New Roman" w:eastAsia="仿宋_GB2312" w:cs="Times New Roman"/>
          <w:b w:val="0"/>
          <w:bCs w:val="0"/>
          <w:color w:val="000000"/>
          <w:sz w:val="32"/>
          <w:szCs w:val="32"/>
        </w:rPr>
        <w:t>第</w:t>
      </w:r>
      <w:r>
        <w:rPr>
          <w:rFonts w:hint="default" w:ascii="Times New Roman" w:hAnsi="Times New Roman" w:eastAsia="仿宋_GB2312" w:cs="Times New Roman"/>
          <w:b w:val="0"/>
          <w:bCs w:val="0"/>
          <w:color w:val="000000"/>
          <w:sz w:val="32"/>
          <w:szCs w:val="32"/>
          <w:lang w:eastAsia="zh-CN"/>
        </w:rPr>
        <w:t>二十二</w:t>
      </w:r>
      <w:r>
        <w:rPr>
          <w:rFonts w:hint="default" w:ascii="Times New Roman" w:hAnsi="Times New Roman" w:eastAsia="仿宋_GB2312" w:cs="Times New Roman"/>
          <w:b w:val="0"/>
          <w:bCs w:val="0"/>
          <w:color w:val="000000"/>
          <w:sz w:val="32"/>
          <w:szCs w:val="32"/>
        </w:rPr>
        <w:t>条  本办法由区</w:t>
      </w:r>
      <w:r>
        <w:rPr>
          <w:rFonts w:hint="default" w:ascii="Times New Roman" w:hAnsi="Times New Roman" w:eastAsia="仿宋_GB2312" w:cs="Times New Roman"/>
          <w:b w:val="0"/>
          <w:bCs w:val="0"/>
          <w:color w:val="000000"/>
          <w:sz w:val="32"/>
          <w:szCs w:val="32"/>
          <w:lang w:eastAsia="zh-CN"/>
        </w:rPr>
        <w:t>政府</w:t>
      </w:r>
      <w:r>
        <w:rPr>
          <w:rFonts w:hint="default" w:ascii="Times New Roman" w:hAnsi="Times New Roman" w:eastAsia="仿宋_GB2312" w:cs="Times New Roman"/>
          <w:b w:val="0"/>
          <w:bCs w:val="0"/>
          <w:color w:val="000000"/>
          <w:sz w:val="32"/>
          <w:szCs w:val="32"/>
        </w:rPr>
        <w:t>负责解释，自发布之日三十日后施行。溧水区人民政府 2014 年 8 月 1 日发布的《溧水区政府投资项目标后监督管理暂行办法》（溧政规〔2014〕1 号） 同时废止。</w:t>
      </w:r>
    </w:p>
    <w:p>
      <w:pPr>
        <w:rPr>
          <w:rFonts w:hint="eastAsia" w:ascii="黑体" w:hAnsi="黑体" w:eastAsia="黑体" w:cs="黑体"/>
          <w:b w:val="0"/>
          <w:bCs w:val="0"/>
          <w:color w:val="000000"/>
          <w:sz w:val="24"/>
          <w:lang w:val="en-US" w:eastAsia="zh-CN"/>
        </w:rPr>
      </w:pPr>
    </w:p>
    <w:p>
      <w:pPr>
        <w:rPr>
          <w:rFonts w:hint="eastAsia" w:ascii="黑体" w:hAnsi="黑体" w:eastAsia="黑体" w:cs="黑体"/>
          <w:b w:val="0"/>
          <w:bCs w:val="0"/>
          <w:color w:val="000000"/>
          <w:sz w:val="24"/>
          <w:lang w:val="en-US" w:eastAsia="zh-CN"/>
        </w:rPr>
      </w:pPr>
    </w:p>
    <w:p>
      <w:pPr>
        <w:rPr>
          <w:rFonts w:hint="eastAsia" w:ascii="黑体" w:hAnsi="黑体" w:eastAsia="黑体" w:cs="黑体"/>
          <w:b w:val="0"/>
          <w:bCs w:val="0"/>
          <w:color w:val="000000"/>
          <w:sz w:val="24"/>
          <w:lang w:val="en-US" w:eastAsia="zh-CN"/>
        </w:rPr>
      </w:pPr>
    </w:p>
    <w:p>
      <w:pPr>
        <w:rPr>
          <w:rFonts w:hint="eastAsia" w:ascii="黑体" w:hAnsi="黑体" w:eastAsia="黑体" w:cs="黑体"/>
          <w:b w:val="0"/>
          <w:bCs w:val="0"/>
          <w:color w:val="000000"/>
          <w:sz w:val="24"/>
          <w:lang w:val="en-US" w:eastAsia="zh-CN"/>
        </w:rPr>
      </w:pPr>
    </w:p>
    <w:p>
      <w:pPr>
        <w:rPr>
          <w:rFonts w:hint="eastAsia" w:ascii="黑体" w:hAnsi="黑体" w:eastAsia="黑体" w:cs="黑体"/>
          <w:b w:val="0"/>
          <w:bCs w:val="0"/>
          <w:color w:val="000000"/>
          <w:sz w:val="24"/>
          <w:lang w:val="en-US" w:eastAsia="zh-CN"/>
        </w:rPr>
      </w:pPr>
    </w:p>
    <w:p>
      <w:pPr>
        <w:rPr>
          <w:rFonts w:hint="eastAsia" w:ascii="黑体" w:hAnsi="黑体" w:eastAsia="黑体" w:cs="黑体"/>
          <w:b w:val="0"/>
          <w:bCs w:val="0"/>
          <w:color w:val="000000"/>
          <w:sz w:val="24"/>
          <w:lang w:val="en-US" w:eastAsia="zh-CN"/>
        </w:rPr>
      </w:pPr>
    </w:p>
    <w:p>
      <w:pPr>
        <w:rPr>
          <w:rFonts w:hint="eastAsia" w:ascii="黑体" w:hAnsi="黑体" w:eastAsia="黑体" w:cs="黑体"/>
          <w:b w:val="0"/>
          <w:bCs w:val="0"/>
          <w:color w:val="000000"/>
          <w:sz w:val="24"/>
          <w:lang w:val="en-US" w:eastAsia="zh-CN"/>
        </w:rPr>
      </w:pPr>
    </w:p>
    <w:p>
      <w:pPr>
        <w:rPr>
          <w:rFonts w:hint="eastAsia" w:ascii="黑体" w:hAnsi="黑体" w:eastAsia="黑体" w:cs="黑体"/>
          <w:b w:val="0"/>
          <w:bCs w:val="0"/>
          <w:color w:val="000000"/>
          <w:sz w:val="24"/>
          <w:lang w:val="en-US" w:eastAsia="zh-CN"/>
        </w:rPr>
      </w:pPr>
    </w:p>
    <w:p>
      <w:pPr>
        <w:rPr>
          <w:rFonts w:hint="eastAsia" w:ascii="黑体" w:hAnsi="黑体" w:eastAsia="黑体" w:cs="黑体"/>
          <w:b w:val="0"/>
          <w:bCs w:val="0"/>
          <w:color w:val="000000"/>
          <w:sz w:val="24"/>
          <w:lang w:val="en-US" w:eastAsia="zh-CN"/>
        </w:rPr>
      </w:pPr>
    </w:p>
    <w:p>
      <w:pPr>
        <w:rPr>
          <w:rFonts w:hint="eastAsia" w:ascii="黑体" w:hAnsi="黑体" w:eastAsia="黑体" w:cs="黑体"/>
          <w:b w:val="0"/>
          <w:bCs w:val="0"/>
          <w:color w:val="000000"/>
          <w:sz w:val="24"/>
          <w:lang w:val="en-US" w:eastAsia="zh-CN"/>
        </w:rPr>
      </w:pPr>
    </w:p>
    <w:p>
      <w:pPr>
        <w:rPr>
          <w:rFonts w:hint="eastAsia" w:ascii="黑体" w:hAnsi="黑体" w:eastAsia="黑体" w:cs="黑体"/>
          <w:b w:val="0"/>
          <w:bCs w:val="0"/>
          <w:color w:val="000000"/>
          <w:sz w:val="24"/>
          <w:lang w:val="en-US" w:eastAsia="zh-CN"/>
        </w:rPr>
      </w:pPr>
    </w:p>
    <w:p>
      <w:pPr>
        <w:rPr>
          <w:rFonts w:hint="eastAsia" w:ascii="黑体" w:hAnsi="黑体" w:eastAsia="黑体" w:cs="黑体"/>
          <w:b w:val="0"/>
          <w:bCs w:val="0"/>
          <w:color w:val="000000"/>
          <w:sz w:val="24"/>
          <w:lang w:val="en-US" w:eastAsia="zh-CN"/>
        </w:rPr>
      </w:pPr>
    </w:p>
    <w:p>
      <w:pPr>
        <w:rPr>
          <w:rFonts w:hint="eastAsia" w:ascii="黑体" w:hAnsi="黑体" w:eastAsia="黑体" w:cs="黑体"/>
          <w:b w:val="0"/>
          <w:bCs w:val="0"/>
          <w:color w:val="000000"/>
          <w:sz w:val="24"/>
          <w:lang w:val="en-US" w:eastAsia="zh-CN"/>
        </w:rPr>
      </w:pPr>
    </w:p>
    <w:p>
      <w:pPr>
        <w:rPr>
          <w:rFonts w:hint="eastAsia" w:ascii="黑体" w:hAnsi="黑体" w:eastAsia="黑体" w:cs="黑体"/>
          <w:b w:val="0"/>
          <w:bCs w:val="0"/>
          <w:color w:val="000000"/>
          <w:sz w:val="24"/>
          <w:lang w:val="en-US" w:eastAsia="zh-CN"/>
        </w:rPr>
      </w:pPr>
    </w:p>
    <w:p>
      <w:pPr>
        <w:rPr>
          <w:rFonts w:hint="eastAsia" w:ascii="黑体" w:hAnsi="黑体" w:eastAsia="黑体" w:cs="黑体"/>
          <w:b w:val="0"/>
          <w:bCs w:val="0"/>
          <w:color w:val="000000"/>
          <w:sz w:val="24"/>
          <w:lang w:val="en-US" w:eastAsia="zh-CN"/>
        </w:rPr>
      </w:pPr>
    </w:p>
    <w:p>
      <w:pPr>
        <w:rPr>
          <w:rFonts w:hint="eastAsia" w:ascii="黑体" w:hAnsi="黑体" w:eastAsia="黑体" w:cs="黑体"/>
          <w:b w:val="0"/>
          <w:bCs w:val="0"/>
          <w:color w:val="000000"/>
          <w:sz w:val="24"/>
          <w:lang w:val="en-US" w:eastAsia="zh-CN"/>
        </w:rPr>
      </w:pPr>
    </w:p>
    <w:p>
      <w:pPr>
        <w:rPr>
          <w:rFonts w:hint="eastAsia" w:ascii="黑体" w:hAnsi="黑体" w:eastAsia="黑体" w:cs="黑体"/>
          <w:b w:val="0"/>
          <w:bCs w:val="0"/>
          <w:color w:val="000000"/>
          <w:sz w:val="24"/>
          <w:lang w:val="en-US" w:eastAsia="zh-CN"/>
        </w:rPr>
      </w:pPr>
    </w:p>
    <w:p>
      <w:pPr>
        <w:rPr>
          <w:rFonts w:hint="eastAsia" w:ascii="黑体" w:hAnsi="黑体" w:eastAsia="黑体" w:cs="黑体"/>
          <w:b w:val="0"/>
          <w:bCs w:val="0"/>
          <w:color w:val="000000"/>
          <w:sz w:val="24"/>
          <w:lang w:val="en-US" w:eastAsia="zh-CN"/>
        </w:rPr>
      </w:pPr>
    </w:p>
    <w:p>
      <w:pPr>
        <w:rPr>
          <w:rFonts w:hint="eastAsia" w:ascii="黑体" w:hAnsi="黑体" w:eastAsia="黑体" w:cs="黑体"/>
          <w:b w:val="0"/>
          <w:bCs w:val="0"/>
          <w:color w:val="000000"/>
          <w:sz w:val="24"/>
          <w:lang w:val="en-US" w:eastAsia="zh-CN"/>
        </w:rPr>
      </w:pPr>
    </w:p>
    <w:p>
      <w:pPr>
        <w:rPr>
          <w:rFonts w:hint="eastAsia" w:ascii="黑体" w:hAnsi="黑体" w:eastAsia="黑体" w:cs="黑体"/>
          <w:b w:val="0"/>
          <w:bCs w:val="0"/>
          <w:color w:val="000000"/>
          <w:sz w:val="24"/>
          <w:lang w:val="en-US" w:eastAsia="zh-CN"/>
        </w:rPr>
      </w:pPr>
    </w:p>
    <w:p>
      <w:pPr>
        <w:rPr>
          <w:rFonts w:hint="eastAsia" w:ascii="黑体" w:hAnsi="黑体" w:eastAsia="黑体" w:cs="黑体"/>
          <w:b w:val="0"/>
          <w:bCs w:val="0"/>
          <w:color w:val="000000"/>
          <w:sz w:val="24"/>
          <w:lang w:val="en-US" w:eastAsia="zh-CN"/>
        </w:rPr>
      </w:pPr>
    </w:p>
    <w:p>
      <w:pPr>
        <w:rPr>
          <w:rFonts w:hint="eastAsia" w:ascii="黑体" w:hAnsi="黑体" w:eastAsia="黑体" w:cs="黑体"/>
          <w:b w:val="0"/>
          <w:bCs w:val="0"/>
          <w:color w:val="000000"/>
          <w:sz w:val="24"/>
          <w:lang w:val="en-US" w:eastAsia="zh-CN"/>
        </w:rPr>
      </w:pPr>
    </w:p>
    <w:p>
      <w:pPr>
        <w:rPr>
          <w:rFonts w:hint="eastAsia" w:ascii="黑体" w:hAnsi="黑体" w:eastAsia="黑体" w:cs="黑体"/>
          <w:b w:val="0"/>
          <w:bCs w:val="0"/>
          <w:color w:val="000000"/>
          <w:sz w:val="24"/>
          <w:lang w:val="en-US" w:eastAsia="zh-CN"/>
        </w:rPr>
      </w:pPr>
    </w:p>
    <w:p>
      <w:pPr>
        <w:rPr>
          <w:rFonts w:hint="eastAsia" w:ascii="黑体" w:hAnsi="黑体" w:eastAsia="黑体" w:cs="黑体"/>
          <w:b w:val="0"/>
          <w:bCs w:val="0"/>
          <w:color w:val="000000"/>
          <w:sz w:val="24"/>
          <w:lang w:val="en-US" w:eastAsia="zh-CN"/>
        </w:rPr>
      </w:pPr>
    </w:p>
    <w:p>
      <w:pPr>
        <w:rPr>
          <w:rFonts w:hint="eastAsia" w:ascii="黑体" w:hAnsi="黑体" w:eastAsia="黑体" w:cs="黑体"/>
          <w:b w:val="0"/>
          <w:bCs w:val="0"/>
          <w:color w:val="000000"/>
          <w:sz w:val="24"/>
          <w:lang w:val="en-US" w:eastAsia="zh-CN"/>
        </w:rPr>
      </w:pPr>
    </w:p>
    <w:p>
      <w:pPr>
        <w:rPr>
          <w:rFonts w:hint="eastAsia" w:ascii="黑体" w:hAnsi="黑体" w:eastAsia="黑体" w:cs="黑体"/>
          <w:b w:val="0"/>
          <w:bCs w:val="0"/>
          <w:color w:val="000000"/>
          <w:sz w:val="24"/>
          <w:lang w:val="en-US" w:eastAsia="zh-CN"/>
        </w:rPr>
      </w:pPr>
    </w:p>
    <w:p>
      <w:pPr>
        <w:rPr>
          <w:rFonts w:hint="eastAsia" w:ascii="黑体" w:hAnsi="黑体" w:eastAsia="黑体" w:cs="黑体"/>
          <w:b w:val="0"/>
          <w:bCs w:val="0"/>
          <w:color w:val="000000"/>
          <w:sz w:val="24"/>
          <w:lang w:val="en-US" w:eastAsia="zh-CN"/>
        </w:rPr>
      </w:pPr>
    </w:p>
    <w:p>
      <w:pPr>
        <w:rPr>
          <w:rFonts w:hint="eastAsia" w:ascii="黑体" w:hAnsi="黑体" w:eastAsia="黑体" w:cs="黑体"/>
          <w:b w:val="0"/>
          <w:bCs w:val="0"/>
          <w:color w:val="000000"/>
          <w:sz w:val="24"/>
          <w:lang w:val="en-US" w:eastAsia="zh-CN"/>
        </w:rPr>
      </w:pPr>
    </w:p>
    <w:p>
      <w:pPr>
        <w:rPr>
          <w:rFonts w:hint="eastAsia" w:ascii="黑体" w:hAnsi="黑体" w:eastAsia="黑体" w:cs="黑体"/>
          <w:b w:val="0"/>
          <w:bCs w:val="0"/>
          <w:color w:val="000000"/>
          <w:sz w:val="24"/>
          <w:lang w:val="en-US" w:eastAsia="zh-CN"/>
        </w:rPr>
      </w:pPr>
    </w:p>
    <w:p>
      <w:pPr>
        <w:rPr>
          <w:rFonts w:hint="eastAsia" w:ascii="黑体" w:hAnsi="黑体" w:eastAsia="黑体" w:cs="黑体"/>
          <w:b w:val="0"/>
          <w:bCs w:val="0"/>
          <w:color w:val="000000"/>
          <w:sz w:val="24"/>
          <w:lang w:val="en-US" w:eastAsia="zh-CN"/>
        </w:rPr>
      </w:pPr>
    </w:p>
    <w:p>
      <w:pPr>
        <w:rPr>
          <w:rFonts w:hint="eastAsia" w:ascii="黑体" w:hAnsi="黑体" w:eastAsia="黑体" w:cs="黑体"/>
          <w:b w:val="0"/>
          <w:bCs w:val="0"/>
          <w:color w:val="000000"/>
          <w:sz w:val="24"/>
          <w:lang w:val="en-US" w:eastAsia="zh-CN"/>
        </w:rPr>
      </w:pPr>
    </w:p>
    <w:p>
      <w:pPr>
        <w:rPr>
          <w:rFonts w:hint="eastAsia" w:ascii="黑体" w:hAnsi="黑体" w:eastAsia="黑体" w:cs="黑体"/>
          <w:b w:val="0"/>
          <w:bCs w:val="0"/>
          <w:color w:val="000000"/>
          <w:sz w:val="24"/>
          <w:lang w:val="en-US" w:eastAsia="zh-CN"/>
        </w:rPr>
      </w:pPr>
    </w:p>
    <w:p>
      <w:pPr>
        <w:rPr>
          <w:rFonts w:hint="eastAsia" w:ascii="黑体" w:hAnsi="黑体" w:eastAsia="黑体" w:cs="黑体"/>
          <w:b w:val="0"/>
          <w:bCs w:val="0"/>
          <w:color w:val="000000"/>
          <w:sz w:val="24"/>
          <w:lang w:val="en-US" w:eastAsia="zh-CN"/>
        </w:rPr>
      </w:pPr>
    </w:p>
    <w:p>
      <w:pPr>
        <w:rPr>
          <w:rFonts w:hint="eastAsia" w:ascii="黑体" w:hAnsi="黑体" w:eastAsia="黑体" w:cs="黑体"/>
          <w:b w:val="0"/>
          <w:bCs w:val="0"/>
          <w:color w:val="000000"/>
          <w:sz w:val="24"/>
          <w:lang w:val="en-US" w:eastAsia="zh-CN"/>
        </w:rPr>
      </w:pPr>
    </w:p>
    <w:p>
      <w:pPr>
        <w:rPr>
          <w:rFonts w:hint="eastAsia" w:ascii="黑体" w:hAnsi="黑体" w:eastAsia="黑体" w:cs="黑体"/>
          <w:b w:val="0"/>
          <w:bCs w:val="0"/>
          <w:color w:val="000000"/>
          <w:sz w:val="24"/>
          <w:lang w:val="en-US" w:eastAsia="zh-CN"/>
        </w:rPr>
      </w:pPr>
    </w:p>
    <w:p>
      <w:pPr>
        <w:rPr>
          <w:rFonts w:hint="eastAsia" w:ascii="黑体" w:hAnsi="黑体" w:eastAsia="黑体" w:cs="黑体"/>
          <w:b w:val="0"/>
          <w:bCs w:val="0"/>
          <w:color w:val="000000"/>
          <w:sz w:val="24"/>
          <w:lang w:val="en-US" w:eastAsia="zh-CN"/>
        </w:rPr>
      </w:pPr>
    </w:p>
    <w:p>
      <w:pPr>
        <w:rPr>
          <w:rFonts w:hint="eastAsia" w:ascii="黑体" w:hAnsi="黑体" w:eastAsia="黑体" w:cs="黑体"/>
          <w:b w:val="0"/>
          <w:bCs w:val="0"/>
          <w:color w:val="000000"/>
          <w:sz w:val="24"/>
          <w:lang w:val="en-US" w:eastAsia="zh-CN"/>
        </w:rPr>
      </w:pPr>
    </w:p>
    <w:p>
      <w:pPr>
        <w:rPr>
          <w:rFonts w:hint="eastAsia" w:ascii="黑体" w:hAnsi="黑体" w:eastAsia="黑体" w:cs="黑体"/>
          <w:b w:val="0"/>
          <w:bCs w:val="0"/>
          <w:color w:val="000000"/>
          <w:sz w:val="24"/>
          <w:lang w:val="en-US" w:eastAsia="zh-CN"/>
        </w:rPr>
      </w:pPr>
    </w:p>
    <w:p>
      <w:pPr>
        <w:pStyle w:val="2"/>
        <w:spacing w:before="208"/>
        <w:ind w:left="8" w:leftChars="0" w:firstLine="217" w:firstLineChars="68"/>
        <w:rPr>
          <w:sz w:val="20"/>
        </w:rPr>
      </w:pPr>
      <w:r>
        <w:t>附件：</w:t>
      </w:r>
    </w:p>
    <w:p>
      <w:pPr>
        <w:pStyle w:val="2"/>
        <w:ind w:left="8" w:leftChars="0" w:firstLine="190" w:firstLineChars="68"/>
        <w:rPr>
          <w:sz w:val="28"/>
        </w:rPr>
      </w:pPr>
    </w:p>
    <w:p>
      <w:pPr>
        <w:pStyle w:val="2"/>
        <w:spacing w:before="55" w:line="513" w:lineRule="auto"/>
        <w:ind w:left="8" w:leftChars="0" w:right="-64" w:rightChars="0" w:firstLine="225" w:firstLineChars="68"/>
        <w:jc w:val="center"/>
        <w:rPr>
          <w:spacing w:val="6"/>
          <w:highlight w:val="none"/>
        </w:rPr>
      </w:pPr>
      <w:r>
        <w:rPr>
          <w:rFonts w:hint="eastAsia"/>
          <w:spacing w:val="6"/>
          <w:lang w:val="en-US" w:eastAsia="zh-CN"/>
        </w:rPr>
        <w:t xml:space="preserve"> </w:t>
      </w:r>
      <w:r>
        <w:rPr>
          <w:spacing w:val="6"/>
        </w:rPr>
        <w:t xml:space="preserve">溧 水  区  国  有  投  资  </w:t>
      </w:r>
      <w:r>
        <w:rPr>
          <w:rFonts w:hint="eastAsia"/>
          <w:spacing w:val="6"/>
          <w:lang w:eastAsia="zh-CN"/>
        </w:rPr>
        <w:t>项</w:t>
      </w:r>
      <w:r>
        <w:rPr>
          <w:rFonts w:hint="eastAsia"/>
          <w:spacing w:val="6"/>
          <w:lang w:val="en-US" w:eastAsia="zh-CN"/>
        </w:rPr>
        <w:t xml:space="preserve">  </w:t>
      </w:r>
      <w:r>
        <w:rPr>
          <w:spacing w:val="6"/>
          <w:highlight w:val="none"/>
        </w:rPr>
        <w:t>目</w:t>
      </w:r>
    </w:p>
    <w:p>
      <w:pPr>
        <w:pStyle w:val="2"/>
        <w:spacing w:before="55" w:line="513" w:lineRule="auto"/>
        <w:ind w:right="-64" w:rightChars="0" w:firstLine="4480" w:firstLineChars="1400"/>
        <w:jc w:val="both"/>
      </w:pPr>
      <w:r>
        <w:rPr>
          <w:highlight w:val="none"/>
        </w:rPr>
        <w:t>变</w:t>
      </w:r>
    </w:p>
    <w:p>
      <w:pPr>
        <w:pStyle w:val="2"/>
        <w:spacing w:before="4" w:line="516" w:lineRule="auto"/>
        <w:ind w:left="4519" w:leftChars="2152" w:right="4471" w:firstLine="0" w:firstLineChars="0"/>
        <w:jc w:val="both"/>
      </w:pPr>
      <w:r>
        <w:t>更方案报告</w:t>
      </w:r>
    </w:p>
    <w:p>
      <w:pPr>
        <w:pStyle w:val="2"/>
        <w:keepNext w:val="0"/>
        <w:keepLines w:val="0"/>
        <w:pageBreakBefore w:val="0"/>
        <w:widowControl w:val="0"/>
        <w:kinsoku/>
        <w:wordWrap/>
        <w:overflowPunct/>
        <w:topLinePunct w:val="0"/>
        <w:autoSpaceDE/>
        <w:autoSpaceDN/>
        <w:bidi w:val="0"/>
        <w:adjustRightInd/>
        <w:snapToGrid/>
        <w:spacing w:before="251" w:line="560" w:lineRule="exact"/>
        <w:ind w:left="6" w:leftChars="0" w:right="-62" w:rightChars="0" w:firstLine="217" w:firstLineChars="68"/>
        <w:jc w:val="both"/>
        <w:textAlignment w:val="auto"/>
      </w:pPr>
      <w:r>
        <w:t>工程</w:t>
      </w:r>
      <w:r>
        <w:rPr>
          <w:rFonts w:hint="eastAsia"/>
          <w:lang w:eastAsia="zh-CN"/>
        </w:rPr>
        <w:t>名</w:t>
      </w:r>
      <w:r>
        <w:t xml:space="preserve">称： </w:t>
      </w:r>
    </w:p>
    <w:p>
      <w:pPr>
        <w:pStyle w:val="2"/>
        <w:keepNext w:val="0"/>
        <w:keepLines w:val="0"/>
        <w:pageBreakBefore w:val="0"/>
        <w:widowControl w:val="0"/>
        <w:kinsoku/>
        <w:wordWrap/>
        <w:overflowPunct/>
        <w:topLinePunct w:val="0"/>
        <w:autoSpaceDE/>
        <w:autoSpaceDN/>
        <w:bidi w:val="0"/>
        <w:adjustRightInd/>
        <w:snapToGrid/>
        <w:spacing w:before="251" w:line="560" w:lineRule="exact"/>
        <w:ind w:left="6" w:leftChars="0" w:right="-62" w:rightChars="0" w:firstLine="217" w:firstLineChars="68"/>
        <w:jc w:val="both"/>
        <w:textAlignment w:val="auto"/>
      </w:pPr>
      <w:r>
        <w:t xml:space="preserve">变更项目： </w:t>
      </w:r>
    </w:p>
    <w:p>
      <w:pPr>
        <w:pStyle w:val="2"/>
        <w:keepNext w:val="0"/>
        <w:keepLines w:val="0"/>
        <w:pageBreakBefore w:val="0"/>
        <w:widowControl w:val="0"/>
        <w:kinsoku/>
        <w:wordWrap/>
        <w:overflowPunct/>
        <w:topLinePunct w:val="0"/>
        <w:autoSpaceDE/>
        <w:autoSpaceDN/>
        <w:bidi w:val="0"/>
        <w:adjustRightInd/>
        <w:snapToGrid/>
        <w:spacing w:before="251" w:line="560" w:lineRule="exact"/>
        <w:ind w:left="6" w:leftChars="0" w:right="-62" w:rightChars="0" w:firstLine="217" w:firstLineChars="68"/>
        <w:jc w:val="both"/>
        <w:textAlignment w:val="auto"/>
      </w:pPr>
      <w:r>
        <w:t xml:space="preserve">施工单位： </w:t>
      </w:r>
    </w:p>
    <w:p>
      <w:pPr>
        <w:pStyle w:val="2"/>
        <w:keepNext w:val="0"/>
        <w:keepLines w:val="0"/>
        <w:pageBreakBefore w:val="0"/>
        <w:widowControl w:val="0"/>
        <w:kinsoku/>
        <w:wordWrap/>
        <w:overflowPunct/>
        <w:topLinePunct w:val="0"/>
        <w:autoSpaceDE/>
        <w:autoSpaceDN/>
        <w:bidi w:val="0"/>
        <w:adjustRightInd/>
        <w:snapToGrid/>
        <w:spacing w:before="251" w:line="560" w:lineRule="exact"/>
        <w:ind w:left="6" w:leftChars="0" w:right="-62" w:rightChars="0" w:firstLine="217" w:firstLineChars="68"/>
        <w:jc w:val="both"/>
        <w:textAlignment w:val="auto"/>
      </w:pPr>
      <w:r>
        <w:t xml:space="preserve">建设单位： </w:t>
      </w:r>
    </w:p>
    <w:p>
      <w:pPr>
        <w:pStyle w:val="2"/>
        <w:keepNext w:val="0"/>
        <w:keepLines w:val="0"/>
        <w:pageBreakBefore w:val="0"/>
        <w:widowControl w:val="0"/>
        <w:kinsoku/>
        <w:wordWrap/>
        <w:overflowPunct/>
        <w:topLinePunct w:val="0"/>
        <w:autoSpaceDE/>
        <w:autoSpaceDN/>
        <w:bidi w:val="0"/>
        <w:adjustRightInd/>
        <w:snapToGrid/>
        <w:spacing w:before="251" w:line="560" w:lineRule="exact"/>
        <w:ind w:left="6" w:leftChars="0" w:right="-62" w:rightChars="0" w:firstLine="217" w:firstLineChars="68"/>
        <w:jc w:val="both"/>
        <w:textAlignment w:val="auto"/>
      </w:pPr>
      <w:r>
        <w:t>主管部门：</w:t>
      </w:r>
    </w:p>
    <w:p>
      <w:pPr>
        <w:pStyle w:val="2"/>
        <w:ind w:left="8" w:leftChars="0" w:firstLine="217" w:firstLineChars="68"/>
      </w:pPr>
    </w:p>
    <w:p>
      <w:pPr>
        <w:pStyle w:val="2"/>
        <w:ind w:left="8" w:leftChars="0" w:firstLine="217" w:firstLineChars="68"/>
      </w:pPr>
    </w:p>
    <w:p>
      <w:pPr>
        <w:pStyle w:val="2"/>
        <w:spacing w:before="9"/>
        <w:ind w:left="8" w:leftChars="0" w:firstLine="224" w:firstLineChars="68"/>
        <w:rPr>
          <w:sz w:val="33"/>
        </w:rPr>
      </w:pPr>
    </w:p>
    <w:p>
      <w:pPr>
        <w:pStyle w:val="2"/>
        <w:tabs>
          <w:tab w:val="left" w:pos="1281"/>
          <w:tab w:val="left" w:pos="1919"/>
          <w:tab w:val="left" w:pos="2560"/>
        </w:tabs>
        <w:ind w:left="8" w:leftChars="0" w:right="40" w:firstLine="217" w:firstLineChars="68"/>
        <w:jc w:val="center"/>
        <w:rPr>
          <w:rFonts w:hint="eastAsia" w:eastAsia="仿宋"/>
          <w:lang w:val="en-US" w:eastAsia="zh-CN"/>
        </w:rPr>
        <w:sectPr>
          <w:headerReference r:id="rId3" w:type="default"/>
          <w:footerReference r:id="rId4" w:type="default"/>
          <w:pgSz w:w="11910" w:h="16840"/>
          <w:pgMar w:top="1701" w:right="1587" w:bottom="1701" w:left="1587" w:header="0" w:footer="1116" w:gutter="0"/>
          <w:pgBorders>
            <w:top w:val="none" w:sz="0" w:space="0"/>
            <w:left w:val="none" w:sz="0" w:space="0"/>
            <w:bottom w:val="none" w:sz="0" w:space="0"/>
            <w:right w:val="none" w:sz="0" w:space="0"/>
          </w:pgBorders>
          <w:pgNumType w:fmt="numberInDash"/>
          <w:cols w:space="720" w:num="1"/>
          <w:rtlGutter w:val="0"/>
          <w:docGrid w:linePitch="0" w:charSpace="0"/>
        </w:sectPr>
      </w:pPr>
      <w:r>
        <w:t>二</w:t>
      </w:r>
      <w:r>
        <w:rPr>
          <w:spacing w:val="-80"/>
        </w:rPr>
        <w:t xml:space="preserve"> </w:t>
      </w:r>
      <w:r>
        <w:t>0</w:t>
      </w:r>
      <w:r>
        <w:rPr>
          <w:spacing w:val="-81"/>
        </w:rPr>
        <w:t xml:space="preserve"> </w:t>
      </w:r>
      <w:r>
        <w:t>一</w:t>
      </w:r>
      <w:r>
        <w:rPr>
          <w:u w:val="single"/>
        </w:rPr>
        <w:t xml:space="preserve"> </w:t>
      </w:r>
      <w:r>
        <w:rPr>
          <w:u w:val="single"/>
        </w:rPr>
        <w:tab/>
      </w:r>
      <w:r>
        <w:t>年</w:t>
      </w:r>
      <w:r>
        <w:rPr>
          <w:u w:val="single"/>
        </w:rPr>
        <w:t xml:space="preserve"> </w:t>
      </w:r>
      <w:r>
        <w:rPr>
          <w:u w:val="single"/>
        </w:rPr>
        <w:tab/>
      </w:r>
      <w:r>
        <w:t>月</w:t>
      </w:r>
      <w:r>
        <w:rPr>
          <w:u w:val="single"/>
        </w:rPr>
        <w:t xml:space="preserve"> </w:t>
      </w:r>
      <w:r>
        <w:rPr>
          <w:u w:val="single"/>
        </w:rPr>
        <w:tab/>
      </w:r>
      <w:r>
        <w:rPr>
          <w:rFonts w:hint="eastAsia"/>
          <w:u w:val="single"/>
          <w:lang w:eastAsia="zh-CN"/>
        </w:rPr>
        <w:t>日</w:t>
      </w:r>
    </w:p>
    <w:p>
      <w:pPr>
        <w:pStyle w:val="2"/>
        <w:spacing w:before="9"/>
        <w:rPr>
          <w:rFonts w:hint="eastAsia" w:eastAsia="仿宋"/>
          <w:sz w:val="29"/>
          <w:lang w:eastAsia="zh-CN"/>
        </w:rPr>
      </w:pPr>
    </w:p>
    <w:p>
      <w:pPr>
        <w:pStyle w:val="2"/>
        <w:spacing w:before="54" w:line="364" w:lineRule="auto"/>
        <w:ind w:right="266" w:firstLine="640" w:firstLineChars="200"/>
        <w:rPr>
          <w:rFonts w:hint="eastAsia" w:eastAsia="仿宋"/>
          <w:lang w:eastAsia="zh-CN"/>
        </w:rPr>
      </w:pPr>
      <w:r>
        <w:t>（一</w:t>
      </w:r>
      <w:r>
        <w:rPr>
          <w:spacing w:val="-24"/>
        </w:rPr>
        <w:t>）</w:t>
      </w:r>
      <w:r>
        <w:rPr>
          <w:spacing w:val="-2"/>
        </w:rPr>
        <w:t>建设单位项目变更申请书</w:t>
      </w:r>
      <w:r>
        <w:t>（</w:t>
      </w:r>
      <w:r>
        <w:rPr>
          <w:spacing w:val="-3"/>
        </w:rPr>
        <w:t>包括:项目概况、变更原</w:t>
      </w:r>
      <w:r>
        <w:rPr>
          <w:spacing w:val="-1"/>
          <w:w w:val="99"/>
        </w:rPr>
        <w:t>因、内容、范围、责任划分、拟处理措施等</w:t>
      </w:r>
      <w:r>
        <w:rPr>
          <w:rFonts w:hint="eastAsia"/>
          <w:spacing w:val="-1"/>
          <w:w w:val="99"/>
          <w:lang w:eastAsia="zh-CN"/>
        </w:rPr>
        <w:t>）；</w:t>
      </w:r>
    </w:p>
    <w:p>
      <w:pPr>
        <w:pStyle w:val="2"/>
        <w:spacing w:before="2"/>
        <w:ind w:firstLine="640" w:firstLineChars="200"/>
      </w:pPr>
      <w:r>
        <w:t>（二）</w:t>
      </w:r>
      <w:r>
        <w:rPr>
          <w:spacing w:val="-30"/>
        </w:rPr>
        <w:t xml:space="preserve">附表 </w:t>
      </w:r>
      <w:r>
        <w:t>1</w:t>
      </w:r>
      <w:r>
        <w:rPr>
          <w:spacing w:val="-17"/>
        </w:rPr>
        <w:t>《工程变更报审表》；</w:t>
      </w:r>
    </w:p>
    <w:p>
      <w:pPr>
        <w:pStyle w:val="2"/>
        <w:spacing w:before="214"/>
        <w:ind w:firstLine="640" w:firstLineChars="200"/>
      </w:pPr>
      <w:r>
        <w:t>（三）</w:t>
      </w:r>
      <w:r>
        <w:rPr>
          <w:spacing w:val="-30"/>
        </w:rPr>
        <w:t xml:space="preserve">附表 </w:t>
      </w:r>
      <w:r>
        <w:t>2</w:t>
      </w:r>
      <w:r>
        <w:rPr>
          <w:spacing w:val="-17"/>
        </w:rPr>
        <w:t>《变更责任审查表》；</w:t>
      </w:r>
    </w:p>
    <w:p>
      <w:pPr>
        <w:pStyle w:val="2"/>
        <w:spacing w:before="214"/>
        <w:ind w:firstLine="640" w:firstLineChars="200"/>
      </w:pPr>
      <w:r>
        <w:t>（四）原初步设计和批复文件、概算书、施工图设计文件；</w:t>
      </w:r>
    </w:p>
    <w:p>
      <w:pPr>
        <w:pStyle w:val="2"/>
        <w:spacing w:before="214" w:line="364" w:lineRule="auto"/>
        <w:ind w:right="266" w:firstLine="640" w:firstLineChars="200"/>
      </w:pPr>
      <w:r>
        <w:t>（五</w:t>
      </w:r>
      <w:r>
        <w:rPr>
          <w:spacing w:val="-53"/>
        </w:rPr>
        <w:t>）</w:t>
      </w:r>
      <w:r>
        <w:rPr>
          <w:spacing w:val="-7"/>
        </w:rPr>
        <w:t>监理单位对因变更事项造成对工期、质量、施工方案和其他有关工作的影响评价；</w:t>
      </w:r>
    </w:p>
    <w:p>
      <w:pPr>
        <w:pStyle w:val="2"/>
        <w:spacing w:before="1" w:line="364" w:lineRule="auto"/>
        <w:ind w:right="269" w:firstLine="608" w:firstLineChars="200"/>
        <w:jc w:val="both"/>
      </w:pPr>
      <w:r>
        <w:rPr>
          <w:w w:val="95"/>
        </w:rPr>
        <w:t>（六</w:t>
      </w:r>
      <w:r>
        <w:rPr>
          <w:spacing w:val="-27"/>
          <w:w w:val="95"/>
        </w:rPr>
        <w:t>）</w:t>
      </w:r>
      <w:r>
        <w:rPr>
          <w:spacing w:val="-2"/>
          <w:w w:val="95"/>
        </w:rPr>
        <w:t>设计变更应附变更设计图和说明，并由设计人员签字</w:t>
      </w:r>
      <w:r>
        <w:rPr>
          <w:spacing w:val="-2"/>
        </w:rPr>
        <w:t>及设计单位盖章，导致较大及以上变更的，应附专家评审意见或相关证明文件；</w:t>
      </w:r>
    </w:p>
    <w:p>
      <w:pPr>
        <w:pStyle w:val="2"/>
        <w:spacing w:before="3" w:line="364" w:lineRule="auto"/>
        <w:ind w:right="269" w:firstLine="608" w:firstLineChars="200"/>
        <w:jc w:val="both"/>
      </w:pPr>
      <w:r>
        <w:rPr>
          <w:w w:val="95"/>
        </w:rPr>
        <w:t>（七</w:t>
      </w:r>
      <w:r>
        <w:rPr>
          <w:spacing w:val="-27"/>
          <w:w w:val="95"/>
        </w:rPr>
        <w:t>）</w:t>
      </w:r>
      <w:r>
        <w:rPr>
          <w:spacing w:val="-2"/>
          <w:w w:val="95"/>
        </w:rPr>
        <w:t>项目变更预算书及工程量计算书，由施工单位专业造</w:t>
      </w:r>
      <w:r>
        <w:rPr>
          <w:spacing w:val="-2"/>
        </w:rPr>
        <w:t>价人员编制、经造价咨询单位或具备相应资格的第三方造价人员审核、签字、盖章后确认；</w:t>
      </w:r>
    </w:p>
    <w:p>
      <w:pPr>
        <w:pStyle w:val="2"/>
        <w:spacing w:before="2" w:line="364" w:lineRule="auto"/>
        <w:ind w:right="202" w:firstLine="640" w:firstLineChars="200"/>
      </w:pPr>
      <w:r>
        <w:t>（八）涉及施工方案重大变更，应附专家评审意见或相关证明材料；</w:t>
      </w:r>
    </w:p>
    <w:p>
      <w:pPr>
        <w:pStyle w:val="2"/>
        <w:spacing w:before="2"/>
        <w:ind w:firstLine="640" w:firstLineChars="200"/>
      </w:pPr>
      <w:r>
        <w:t>（九）其他应当提交的相关资料。</w:t>
      </w:r>
    </w:p>
    <w:p>
      <w:pPr>
        <w:spacing w:after="0"/>
        <w:ind w:left="8" w:leftChars="0" w:firstLine="562" w:firstLineChars="268"/>
        <w:sectPr>
          <w:pgSz w:w="11910" w:h="16840"/>
          <w:pgMar w:top="1701" w:right="1587" w:bottom="1701" w:left="1587" w:header="0" w:footer="1116" w:gutter="0"/>
          <w:pgBorders>
            <w:top w:val="none" w:sz="0" w:space="0"/>
            <w:left w:val="none" w:sz="0" w:space="0"/>
            <w:bottom w:val="none" w:sz="0" w:space="0"/>
            <w:right w:val="none" w:sz="0" w:space="0"/>
          </w:pgBorders>
          <w:pgNumType w:fmt="numberInDash"/>
          <w:cols w:space="720" w:num="1"/>
          <w:rtlGutter w:val="0"/>
        </w:sectPr>
      </w:pPr>
    </w:p>
    <w:p>
      <w:pPr>
        <w:pStyle w:val="2"/>
        <w:spacing w:before="3"/>
        <w:rPr>
          <w:sz w:val="12"/>
        </w:rPr>
      </w:pPr>
    </w:p>
    <w:p>
      <w:pPr>
        <w:pStyle w:val="2"/>
        <w:spacing w:before="55"/>
        <w:ind w:left="228"/>
      </w:pPr>
      <w:r>
        <w:t>附表 1：</w:t>
      </w:r>
    </w:p>
    <w:p>
      <w:pPr>
        <w:pStyle w:val="2"/>
        <w:spacing w:before="214"/>
        <w:ind w:right="37"/>
        <w:jc w:val="center"/>
        <w:rPr>
          <w:rFonts w:hint="eastAsia" w:ascii="宋体" w:eastAsia="宋体"/>
        </w:rPr>
      </w:pPr>
      <w:r>
        <w:rPr>
          <w:rFonts w:hint="eastAsia" w:ascii="宋体" w:eastAsia="宋体"/>
          <w:color w:val="111111"/>
        </w:rPr>
        <w:t>工程变更报审表</w:t>
      </w:r>
    </w:p>
    <w:p>
      <w:pPr>
        <w:pStyle w:val="2"/>
        <w:spacing w:before="2"/>
        <w:rPr>
          <w:rFonts w:ascii="宋体"/>
          <w:sz w:val="8"/>
        </w:rPr>
      </w:pPr>
    </w:p>
    <w:tbl>
      <w:tblPr>
        <w:tblStyle w:val="5"/>
        <w:tblW w:w="0" w:type="auto"/>
        <w:tblInd w:w="156"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529"/>
        <w:gridCol w:w="1114"/>
        <w:gridCol w:w="1386"/>
        <w:gridCol w:w="418"/>
        <w:gridCol w:w="1280"/>
        <w:gridCol w:w="195"/>
        <w:gridCol w:w="888"/>
        <w:gridCol w:w="208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42" w:hRule="atLeast"/>
        </w:trPr>
        <w:tc>
          <w:tcPr>
            <w:tcW w:w="1529" w:type="dxa"/>
            <w:noWrap w:val="0"/>
            <w:vAlign w:val="top"/>
          </w:tcPr>
          <w:p>
            <w:pPr>
              <w:pStyle w:val="7"/>
              <w:spacing w:before="118"/>
              <w:ind w:right="144"/>
              <w:jc w:val="right"/>
              <w:rPr>
                <w:sz w:val="24"/>
              </w:rPr>
            </w:pPr>
            <w:r>
              <w:rPr>
                <w:sz w:val="24"/>
              </w:rPr>
              <w:t>工程名称</w:t>
            </w:r>
          </w:p>
        </w:tc>
        <w:tc>
          <w:tcPr>
            <w:tcW w:w="2918" w:type="dxa"/>
            <w:gridSpan w:val="3"/>
            <w:noWrap w:val="0"/>
            <w:vAlign w:val="top"/>
          </w:tcPr>
          <w:p>
            <w:pPr>
              <w:pStyle w:val="7"/>
              <w:rPr>
                <w:rFonts w:ascii="Times New Roman"/>
                <w:sz w:val="22"/>
              </w:rPr>
            </w:pPr>
          </w:p>
        </w:tc>
        <w:tc>
          <w:tcPr>
            <w:tcW w:w="2363" w:type="dxa"/>
            <w:gridSpan w:val="3"/>
            <w:noWrap w:val="0"/>
            <w:vAlign w:val="top"/>
          </w:tcPr>
          <w:p>
            <w:pPr>
              <w:pStyle w:val="7"/>
              <w:spacing w:before="118"/>
              <w:ind w:left="699"/>
              <w:rPr>
                <w:sz w:val="24"/>
              </w:rPr>
            </w:pPr>
            <w:r>
              <w:rPr>
                <w:color w:val="111111"/>
                <w:sz w:val="24"/>
              </w:rPr>
              <w:t>立项投资总额</w:t>
            </w:r>
          </w:p>
        </w:tc>
        <w:tc>
          <w:tcPr>
            <w:tcW w:w="2084" w:type="dxa"/>
            <w:noWrap w:val="0"/>
            <w:vAlign w:val="top"/>
          </w:tcPr>
          <w:p>
            <w:pPr>
              <w:pStyle w:val="7"/>
              <w:spacing w:before="118"/>
              <w:ind w:left="1134" w:right="-44"/>
              <w:rPr>
                <w:sz w:val="24"/>
              </w:rPr>
            </w:pPr>
            <w:r>
              <w:rPr>
                <w:sz w:val="24"/>
              </w:rPr>
              <w:t>（万元）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2" w:hRule="atLeast"/>
        </w:trPr>
        <w:tc>
          <w:tcPr>
            <w:tcW w:w="1529" w:type="dxa"/>
            <w:noWrap w:val="0"/>
            <w:vAlign w:val="top"/>
          </w:tcPr>
          <w:p>
            <w:pPr>
              <w:pStyle w:val="7"/>
              <w:spacing w:before="123"/>
              <w:ind w:right="144"/>
              <w:jc w:val="right"/>
              <w:rPr>
                <w:sz w:val="24"/>
              </w:rPr>
            </w:pPr>
            <w:r>
              <w:rPr>
                <w:sz w:val="24"/>
              </w:rPr>
              <w:t>合同金额</w:t>
            </w:r>
          </w:p>
        </w:tc>
        <w:tc>
          <w:tcPr>
            <w:tcW w:w="2918" w:type="dxa"/>
            <w:gridSpan w:val="3"/>
            <w:noWrap w:val="0"/>
            <w:vAlign w:val="top"/>
          </w:tcPr>
          <w:p>
            <w:pPr>
              <w:pStyle w:val="7"/>
              <w:rPr>
                <w:rFonts w:ascii="Times New Roman"/>
                <w:sz w:val="22"/>
              </w:rPr>
            </w:pPr>
          </w:p>
        </w:tc>
        <w:tc>
          <w:tcPr>
            <w:tcW w:w="2363" w:type="dxa"/>
            <w:gridSpan w:val="3"/>
            <w:noWrap w:val="0"/>
            <w:vAlign w:val="top"/>
          </w:tcPr>
          <w:p>
            <w:pPr>
              <w:pStyle w:val="7"/>
              <w:spacing w:before="123"/>
              <w:ind w:left="699"/>
              <w:rPr>
                <w:sz w:val="24"/>
              </w:rPr>
            </w:pPr>
            <w:r>
              <w:rPr>
                <w:sz w:val="24"/>
              </w:rPr>
              <w:t>变更申报日期</w:t>
            </w:r>
          </w:p>
        </w:tc>
        <w:tc>
          <w:tcPr>
            <w:tcW w:w="2084" w:type="dxa"/>
            <w:noWrap w:val="0"/>
            <w:vAlign w:val="top"/>
          </w:tcPr>
          <w:p>
            <w:pPr>
              <w:pStyle w:val="7"/>
              <w:rPr>
                <w:rFonts w:ascii="Times New Roman"/>
                <w:sz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272" w:hRule="atLeast"/>
        </w:trPr>
        <w:tc>
          <w:tcPr>
            <w:tcW w:w="1529" w:type="dxa"/>
            <w:tcBorders>
              <w:bottom w:val="single" w:color="000000" w:themeColor="text1" w:sz="6" w:space="0"/>
            </w:tcBorders>
            <w:noWrap w:val="0"/>
            <w:vAlign w:val="top"/>
          </w:tcPr>
          <w:p>
            <w:pPr>
              <w:pStyle w:val="7"/>
              <w:rPr>
                <w:sz w:val="24"/>
              </w:rPr>
            </w:pPr>
          </w:p>
          <w:p>
            <w:pPr>
              <w:pStyle w:val="7"/>
              <w:rPr>
                <w:sz w:val="24"/>
              </w:rPr>
            </w:pPr>
          </w:p>
          <w:p>
            <w:pPr>
              <w:pStyle w:val="7"/>
              <w:spacing w:before="213" w:line="242" w:lineRule="auto"/>
              <w:ind w:left="164" w:right="144" w:firstLine="240"/>
              <w:rPr>
                <w:sz w:val="24"/>
              </w:rPr>
            </w:pPr>
            <w:r>
              <w:rPr>
                <w:sz w:val="24"/>
              </w:rPr>
              <w:t>变更原因及论证经过</w:t>
            </w:r>
          </w:p>
        </w:tc>
        <w:tc>
          <w:tcPr>
            <w:tcW w:w="7365" w:type="dxa"/>
            <w:gridSpan w:val="7"/>
            <w:tcBorders>
              <w:bottom w:val="single" w:color="000000" w:themeColor="text1" w:sz="6" w:space="0"/>
            </w:tcBorders>
            <w:noWrap w:val="0"/>
            <w:vAlign w:val="top"/>
          </w:tcPr>
          <w:p>
            <w:pPr>
              <w:pStyle w:val="7"/>
              <w:rPr>
                <w:rFonts w:ascii="Times New Roman"/>
                <w:sz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32" w:hRule="atLeast"/>
        </w:trPr>
        <w:tc>
          <w:tcPr>
            <w:tcW w:w="1529" w:type="dxa"/>
            <w:tcBorders>
              <w:top w:val="single" w:color="000000" w:themeColor="text1" w:sz="6" w:space="0"/>
            </w:tcBorders>
            <w:noWrap w:val="0"/>
            <w:vAlign w:val="top"/>
          </w:tcPr>
          <w:p>
            <w:pPr>
              <w:pStyle w:val="7"/>
              <w:spacing w:before="156" w:line="242" w:lineRule="auto"/>
              <w:ind w:left="106" w:right="-44" w:firstLine="57"/>
              <w:rPr>
                <w:sz w:val="24"/>
              </w:rPr>
            </w:pPr>
            <w:r>
              <w:rPr>
                <w:sz w:val="24"/>
              </w:rPr>
              <w:t>本次变更估</w:t>
            </w:r>
            <w:r>
              <w:rPr>
                <w:spacing w:val="-2"/>
                <w:sz w:val="24"/>
              </w:rPr>
              <w:t>算金额</w:t>
            </w:r>
            <w:r>
              <w:rPr>
                <w:sz w:val="24"/>
              </w:rPr>
              <w:t>（元）</w:t>
            </w:r>
          </w:p>
        </w:tc>
        <w:tc>
          <w:tcPr>
            <w:tcW w:w="2500" w:type="dxa"/>
            <w:gridSpan w:val="2"/>
            <w:tcBorders>
              <w:top w:val="single" w:color="000000" w:themeColor="text1" w:sz="6" w:space="0"/>
            </w:tcBorders>
            <w:noWrap w:val="0"/>
            <w:vAlign w:val="top"/>
          </w:tcPr>
          <w:p>
            <w:pPr>
              <w:pStyle w:val="7"/>
              <w:rPr>
                <w:rFonts w:ascii="Times New Roman"/>
                <w:sz w:val="22"/>
              </w:rPr>
            </w:pPr>
          </w:p>
        </w:tc>
        <w:tc>
          <w:tcPr>
            <w:tcW w:w="1893" w:type="dxa"/>
            <w:gridSpan w:val="3"/>
            <w:tcBorders>
              <w:top w:val="single" w:color="000000" w:themeColor="text1" w:sz="6" w:space="0"/>
            </w:tcBorders>
            <w:noWrap w:val="0"/>
            <w:vAlign w:val="top"/>
          </w:tcPr>
          <w:p>
            <w:pPr>
              <w:pStyle w:val="7"/>
              <w:spacing w:before="156" w:line="242" w:lineRule="auto"/>
              <w:ind w:left="107" w:right="86"/>
              <w:rPr>
                <w:sz w:val="24"/>
              </w:rPr>
            </w:pPr>
            <w:r>
              <w:rPr>
                <w:sz w:val="24"/>
              </w:rPr>
              <w:t>累计变更估算金额（元）</w:t>
            </w:r>
          </w:p>
        </w:tc>
        <w:tc>
          <w:tcPr>
            <w:tcW w:w="2972" w:type="dxa"/>
            <w:gridSpan w:val="2"/>
            <w:tcBorders>
              <w:top w:val="single" w:color="000000" w:themeColor="text1" w:sz="6" w:space="0"/>
            </w:tcBorders>
            <w:noWrap w:val="0"/>
            <w:vAlign w:val="top"/>
          </w:tcPr>
          <w:p>
            <w:pPr>
              <w:pStyle w:val="7"/>
              <w:rPr>
                <w:rFonts w:ascii="Times New Roman"/>
                <w:sz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57" w:hRule="atLeast"/>
        </w:trPr>
        <w:tc>
          <w:tcPr>
            <w:tcW w:w="2643" w:type="dxa"/>
            <w:gridSpan w:val="2"/>
            <w:noWrap w:val="0"/>
            <w:vAlign w:val="top"/>
          </w:tcPr>
          <w:p>
            <w:pPr>
              <w:pStyle w:val="7"/>
              <w:spacing w:before="2"/>
              <w:ind w:left="586"/>
              <w:rPr>
                <w:sz w:val="24"/>
              </w:rPr>
            </w:pPr>
            <w:r>
              <w:rPr>
                <w:sz w:val="24"/>
              </w:rPr>
              <w:t>监理单位意见：</w:t>
            </w:r>
          </w:p>
          <w:p>
            <w:pPr>
              <w:pStyle w:val="7"/>
              <w:rPr>
                <w:sz w:val="24"/>
              </w:rPr>
            </w:pPr>
          </w:p>
          <w:p>
            <w:pPr>
              <w:pStyle w:val="7"/>
              <w:rPr>
                <w:sz w:val="24"/>
              </w:rPr>
            </w:pPr>
          </w:p>
          <w:p>
            <w:pPr>
              <w:pStyle w:val="7"/>
              <w:spacing w:before="5"/>
              <w:rPr>
                <w:sz w:val="25"/>
              </w:rPr>
            </w:pPr>
          </w:p>
          <w:p>
            <w:pPr>
              <w:pStyle w:val="7"/>
              <w:ind w:left="586"/>
              <w:rPr>
                <w:sz w:val="24"/>
              </w:rPr>
            </w:pPr>
            <w:r>
              <w:rPr>
                <w:sz w:val="24"/>
              </w:rPr>
              <w:t>盖章：</w:t>
            </w:r>
          </w:p>
          <w:p>
            <w:pPr>
              <w:pStyle w:val="7"/>
              <w:spacing w:before="5"/>
              <w:ind w:left="586"/>
              <w:rPr>
                <w:sz w:val="24"/>
              </w:rPr>
            </w:pPr>
            <w:r>
              <w:rPr>
                <w:sz w:val="24"/>
              </w:rPr>
              <w:t>责任人签字：</w:t>
            </w:r>
          </w:p>
          <w:p>
            <w:pPr>
              <w:pStyle w:val="7"/>
              <w:spacing w:before="4"/>
              <w:ind w:left="1455"/>
              <w:rPr>
                <w:sz w:val="24"/>
              </w:rPr>
            </w:pPr>
            <w:r>
              <w:rPr>
                <w:sz w:val="24"/>
              </w:rPr>
              <w:t>年 月 日</w:t>
            </w:r>
          </w:p>
        </w:tc>
        <w:tc>
          <w:tcPr>
            <w:tcW w:w="3084" w:type="dxa"/>
            <w:gridSpan w:val="3"/>
            <w:noWrap w:val="0"/>
            <w:vAlign w:val="top"/>
          </w:tcPr>
          <w:p>
            <w:pPr>
              <w:pStyle w:val="7"/>
              <w:spacing w:before="2"/>
              <w:ind w:left="588"/>
              <w:rPr>
                <w:sz w:val="24"/>
              </w:rPr>
            </w:pPr>
            <w:r>
              <w:rPr>
                <w:sz w:val="24"/>
              </w:rPr>
              <w:t>跟踪审计单位意见：</w:t>
            </w:r>
          </w:p>
          <w:p>
            <w:pPr>
              <w:pStyle w:val="7"/>
              <w:rPr>
                <w:sz w:val="24"/>
              </w:rPr>
            </w:pPr>
          </w:p>
          <w:p>
            <w:pPr>
              <w:pStyle w:val="7"/>
              <w:rPr>
                <w:sz w:val="24"/>
              </w:rPr>
            </w:pPr>
          </w:p>
          <w:p>
            <w:pPr>
              <w:pStyle w:val="7"/>
              <w:spacing w:before="5"/>
              <w:rPr>
                <w:sz w:val="25"/>
              </w:rPr>
            </w:pPr>
          </w:p>
          <w:p>
            <w:pPr>
              <w:pStyle w:val="7"/>
              <w:ind w:left="588"/>
              <w:rPr>
                <w:sz w:val="24"/>
              </w:rPr>
            </w:pPr>
            <w:r>
              <w:rPr>
                <w:sz w:val="24"/>
              </w:rPr>
              <w:t>盖章：</w:t>
            </w:r>
          </w:p>
          <w:p>
            <w:pPr>
              <w:pStyle w:val="7"/>
              <w:spacing w:before="5"/>
              <w:ind w:left="588"/>
              <w:rPr>
                <w:sz w:val="24"/>
              </w:rPr>
            </w:pPr>
            <w:r>
              <w:rPr>
                <w:sz w:val="24"/>
              </w:rPr>
              <w:t>责任人签字：</w:t>
            </w:r>
          </w:p>
          <w:p>
            <w:pPr>
              <w:pStyle w:val="7"/>
              <w:spacing w:before="4"/>
              <w:ind w:left="1562"/>
              <w:rPr>
                <w:sz w:val="24"/>
              </w:rPr>
            </w:pPr>
            <w:r>
              <w:rPr>
                <w:sz w:val="24"/>
              </w:rPr>
              <w:t>年 月 日</w:t>
            </w:r>
          </w:p>
        </w:tc>
        <w:tc>
          <w:tcPr>
            <w:tcW w:w="3167" w:type="dxa"/>
            <w:gridSpan w:val="3"/>
            <w:noWrap w:val="0"/>
            <w:vAlign w:val="top"/>
          </w:tcPr>
          <w:p>
            <w:pPr>
              <w:pStyle w:val="7"/>
              <w:spacing w:before="2"/>
              <w:ind w:left="588"/>
              <w:rPr>
                <w:sz w:val="24"/>
              </w:rPr>
            </w:pPr>
            <w:r>
              <w:rPr>
                <w:sz w:val="24"/>
              </w:rPr>
              <w:t>施工单位意见：</w:t>
            </w:r>
          </w:p>
          <w:p>
            <w:pPr>
              <w:pStyle w:val="7"/>
              <w:rPr>
                <w:sz w:val="24"/>
              </w:rPr>
            </w:pPr>
          </w:p>
          <w:p>
            <w:pPr>
              <w:pStyle w:val="7"/>
              <w:rPr>
                <w:sz w:val="24"/>
              </w:rPr>
            </w:pPr>
          </w:p>
          <w:p>
            <w:pPr>
              <w:pStyle w:val="7"/>
              <w:spacing w:before="5"/>
              <w:rPr>
                <w:sz w:val="25"/>
              </w:rPr>
            </w:pPr>
          </w:p>
          <w:p>
            <w:pPr>
              <w:pStyle w:val="7"/>
              <w:ind w:left="588"/>
              <w:rPr>
                <w:sz w:val="24"/>
              </w:rPr>
            </w:pPr>
            <w:r>
              <w:rPr>
                <w:sz w:val="24"/>
              </w:rPr>
              <w:t>盖章：</w:t>
            </w:r>
          </w:p>
          <w:p>
            <w:pPr>
              <w:pStyle w:val="7"/>
              <w:spacing w:before="5"/>
              <w:ind w:left="588"/>
              <w:rPr>
                <w:sz w:val="24"/>
              </w:rPr>
            </w:pPr>
            <w:r>
              <w:rPr>
                <w:sz w:val="24"/>
              </w:rPr>
              <w:t>责任人签字：</w:t>
            </w:r>
          </w:p>
          <w:p>
            <w:pPr>
              <w:pStyle w:val="7"/>
              <w:spacing w:before="4"/>
              <w:ind w:left="1977"/>
              <w:rPr>
                <w:sz w:val="24"/>
              </w:rPr>
            </w:pPr>
            <w:r>
              <w:rPr>
                <w:sz w:val="24"/>
              </w:rPr>
              <w:t>年 月 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907" w:hRule="atLeast"/>
        </w:trPr>
        <w:tc>
          <w:tcPr>
            <w:tcW w:w="4447" w:type="dxa"/>
            <w:gridSpan w:val="4"/>
            <w:noWrap w:val="0"/>
            <w:vAlign w:val="top"/>
          </w:tcPr>
          <w:p>
            <w:pPr>
              <w:pStyle w:val="7"/>
              <w:spacing w:before="3"/>
              <w:ind w:left="586"/>
              <w:rPr>
                <w:sz w:val="24"/>
              </w:rPr>
            </w:pPr>
            <w:r>
              <w:rPr>
                <w:sz w:val="24"/>
              </w:rPr>
              <w:t>设计单位意见：</w:t>
            </w:r>
          </w:p>
          <w:p>
            <w:pPr>
              <w:pStyle w:val="7"/>
              <w:rPr>
                <w:sz w:val="24"/>
              </w:rPr>
            </w:pPr>
          </w:p>
          <w:p>
            <w:pPr>
              <w:pStyle w:val="7"/>
              <w:rPr>
                <w:sz w:val="24"/>
              </w:rPr>
            </w:pPr>
          </w:p>
          <w:p>
            <w:pPr>
              <w:pStyle w:val="7"/>
              <w:rPr>
                <w:sz w:val="24"/>
              </w:rPr>
            </w:pPr>
          </w:p>
          <w:p>
            <w:pPr>
              <w:pStyle w:val="7"/>
              <w:spacing w:before="10"/>
              <w:rPr>
                <w:sz w:val="25"/>
              </w:rPr>
            </w:pPr>
          </w:p>
          <w:p>
            <w:pPr>
              <w:pStyle w:val="7"/>
              <w:ind w:left="586"/>
              <w:rPr>
                <w:sz w:val="24"/>
              </w:rPr>
            </w:pPr>
            <w:r>
              <w:rPr>
                <w:sz w:val="24"/>
              </w:rPr>
              <w:t>盖章：</w:t>
            </w:r>
          </w:p>
          <w:p>
            <w:pPr>
              <w:pStyle w:val="7"/>
              <w:spacing w:before="4"/>
              <w:ind w:left="586"/>
              <w:rPr>
                <w:sz w:val="24"/>
              </w:rPr>
            </w:pPr>
            <w:r>
              <w:rPr>
                <w:sz w:val="24"/>
              </w:rPr>
              <w:t>责任人签字：</w:t>
            </w:r>
          </w:p>
          <w:p>
            <w:pPr>
              <w:pStyle w:val="7"/>
              <w:spacing w:before="5"/>
              <w:ind w:left="2266"/>
              <w:rPr>
                <w:sz w:val="24"/>
              </w:rPr>
            </w:pPr>
            <w:r>
              <w:rPr>
                <w:sz w:val="24"/>
              </w:rPr>
              <w:t>年 月 日</w:t>
            </w:r>
          </w:p>
        </w:tc>
        <w:tc>
          <w:tcPr>
            <w:tcW w:w="4447" w:type="dxa"/>
            <w:gridSpan w:val="4"/>
            <w:noWrap w:val="0"/>
            <w:vAlign w:val="top"/>
          </w:tcPr>
          <w:p>
            <w:pPr>
              <w:pStyle w:val="7"/>
              <w:spacing w:before="3"/>
              <w:ind w:left="586"/>
              <w:rPr>
                <w:sz w:val="24"/>
              </w:rPr>
            </w:pPr>
            <w:r>
              <w:rPr>
                <w:sz w:val="24"/>
              </w:rPr>
              <w:t>建设单位意见：</w:t>
            </w:r>
          </w:p>
          <w:p>
            <w:pPr>
              <w:pStyle w:val="7"/>
              <w:rPr>
                <w:sz w:val="24"/>
              </w:rPr>
            </w:pPr>
          </w:p>
          <w:p>
            <w:pPr>
              <w:pStyle w:val="7"/>
              <w:rPr>
                <w:sz w:val="24"/>
              </w:rPr>
            </w:pPr>
          </w:p>
          <w:p>
            <w:pPr>
              <w:pStyle w:val="7"/>
              <w:spacing w:before="5"/>
              <w:rPr>
                <w:sz w:val="25"/>
              </w:rPr>
            </w:pPr>
          </w:p>
          <w:p>
            <w:pPr>
              <w:pStyle w:val="7"/>
              <w:ind w:left="106"/>
              <w:rPr>
                <w:sz w:val="24"/>
              </w:rPr>
            </w:pPr>
            <w:r>
              <w:rPr>
                <w:sz w:val="24"/>
              </w:rPr>
              <w:t>单位盖章：</w:t>
            </w:r>
          </w:p>
          <w:p>
            <w:pPr>
              <w:pStyle w:val="7"/>
              <w:spacing w:before="5" w:line="242" w:lineRule="auto"/>
              <w:ind w:left="106" w:right="2398"/>
              <w:rPr>
                <w:sz w:val="24"/>
              </w:rPr>
            </w:pPr>
            <w:r>
              <w:rPr>
                <w:sz w:val="24"/>
              </w:rPr>
              <w:t>项目负责人签字： 法定代表人签字：</w:t>
            </w:r>
          </w:p>
          <w:p>
            <w:pPr>
              <w:pStyle w:val="7"/>
              <w:spacing w:before="3"/>
              <w:ind w:left="2506"/>
              <w:rPr>
                <w:sz w:val="24"/>
              </w:rPr>
            </w:pPr>
            <w:r>
              <w:rPr>
                <w:sz w:val="24"/>
              </w:rPr>
              <w:t>年 月 日</w:t>
            </w:r>
          </w:p>
        </w:tc>
      </w:tr>
    </w:tbl>
    <w:p>
      <w:pPr>
        <w:pStyle w:val="2"/>
        <w:spacing w:before="3"/>
        <w:rPr>
          <w:rFonts w:ascii="宋体"/>
          <w:sz w:val="6"/>
        </w:rPr>
      </w:pPr>
    </w:p>
    <w:p>
      <w:pPr>
        <w:spacing w:before="70" w:line="374" w:lineRule="auto"/>
        <w:ind w:left="228" w:right="-284" w:rightChars="0" w:firstLine="420"/>
        <w:jc w:val="left"/>
        <w:rPr>
          <w:rFonts w:hint="eastAsia" w:ascii="宋体" w:hAnsi="宋体" w:eastAsia="宋体" w:cs="宋体"/>
          <w:color w:val="111111"/>
          <w:sz w:val="21"/>
          <w:szCs w:val="21"/>
        </w:rPr>
      </w:pPr>
      <w:r>
        <w:rPr>
          <w:rFonts w:hint="eastAsia" w:ascii="宋体" w:hAnsi="宋体" w:eastAsia="宋体" w:cs="宋体"/>
          <w:color w:val="111111"/>
          <w:sz w:val="21"/>
          <w:szCs w:val="21"/>
        </w:rPr>
        <w:t>注：1、此表为建设单位发生变更时统一填写的报审格式，变更估算金额建设单位先自行核   实确定，决算时以审计确认为准。</w:t>
      </w:r>
    </w:p>
    <w:p>
      <w:pPr>
        <w:spacing w:before="70" w:line="374" w:lineRule="auto"/>
        <w:ind w:left="228" w:right="-284" w:rightChars="0" w:firstLine="420"/>
        <w:jc w:val="left"/>
        <w:rPr>
          <w:rFonts w:hint="eastAsia" w:ascii="宋体" w:hAnsi="宋体" w:eastAsia="宋体" w:cs="宋体"/>
          <w:color w:val="111111"/>
          <w:sz w:val="21"/>
          <w:szCs w:val="21"/>
          <w:lang w:eastAsia="zh-CN"/>
        </w:rPr>
        <w:sectPr>
          <w:pgSz w:w="11910" w:h="16840"/>
          <w:pgMar w:top="1701" w:right="1587" w:bottom="1701" w:left="1587" w:header="0" w:footer="1116" w:gutter="0"/>
          <w:pgBorders>
            <w:top w:val="none" w:sz="0" w:space="0"/>
            <w:left w:val="none" w:sz="0" w:space="0"/>
            <w:bottom w:val="none" w:sz="0" w:space="0"/>
            <w:right w:val="none" w:sz="0" w:space="0"/>
          </w:pgBorders>
          <w:pgNumType w:fmt="numberInDash"/>
          <w:cols w:space="720" w:num="1"/>
          <w:rtlGutter w:val="0"/>
        </w:sectPr>
      </w:pPr>
      <w:r>
        <w:rPr>
          <w:rFonts w:hint="eastAsia" w:ascii="宋体" w:hAnsi="宋体" w:eastAsia="宋体" w:cs="宋体"/>
          <w:color w:val="111111"/>
          <w:sz w:val="21"/>
          <w:szCs w:val="21"/>
        </w:rPr>
        <w:t>2、变更不涉及到设计单位的，设计单位意见不填；无跟踪审计单位的，跟踪审计单位意见   不填</w:t>
      </w:r>
      <w:r>
        <w:rPr>
          <w:rFonts w:hint="eastAsia" w:ascii="宋体" w:hAnsi="宋体" w:eastAsia="宋体" w:cs="宋体"/>
          <w:color w:val="111111"/>
          <w:sz w:val="21"/>
          <w:szCs w:val="21"/>
          <w:lang w:eastAsia="zh-CN"/>
        </w:rPr>
        <w:t>。</w:t>
      </w:r>
    </w:p>
    <w:p>
      <w:pPr>
        <w:pStyle w:val="2"/>
        <w:spacing w:before="1"/>
        <w:rPr>
          <w:rFonts w:ascii="宋体"/>
          <w:sz w:val="25"/>
        </w:rPr>
      </w:pPr>
    </w:p>
    <w:p>
      <w:pPr>
        <w:pStyle w:val="2"/>
        <w:spacing w:before="54"/>
        <w:ind w:left="228"/>
      </w:pPr>
      <w:r>
        <w:t>附表 2：</w:t>
      </w:r>
    </w:p>
    <w:p>
      <w:pPr>
        <w:pStyle w:val="2"/>
        <w:spacing w:before="214"/>
        <w:ind w:right="37"/>
        <w:jc w:val="center"/>
        <w:rPr>
          <w:rFonts w:hint="eastAsia" w:ascii="宋体" w:eastAsia="宋体"/>
        </w:rPr>
      </w:pPr>
      <w:r>
        <w:rPr>
          <w:rFonts w:hint="eastAsia" w:ascii="宋体" w:eastAsia="宋体"/>
        </w:rPr>
        <w:t>变更责任审查表</w:t>
      </w:r>
    </w:p>
    <w:p>
      <w:pPr>
        <w:pStyle w:val="2"/>
        <w:rPr>
          <w:rFonts w:ascii="宋体"/>
          <w:sz w:val="20"/>
        </w:rPr>
      </w:pPr>
    </w:p>
    <w:p>
      <w:pPr>
        <w:pStyle w:val="2"/>
        <w:spacing w:before="2"/>
        <w:rPr>
          <w:rFonts w:ascii="宋体"/>
          <w:sz w:val="13"/>
        </w:rPr>
      </w:pPr>
    </w:p>
    <w:tbl>
      <w:tblPr>
        <w:tblStyle w:val="5"/>
        <w:tblW w:w="0" w:type="auto"/>
        <w:tblInd w:w="1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33"/>
        <w:gridCol w:w="609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1" w:hRule="atLeast"/>
        </w:trPr>
        <w:tc>
          <w:tcPr>
            <w:tcW w:w="2233" w:type="dxa"/>
            <w:noWrap w:val="0"/>
            <w:vAlign w:val="top"/>
          </w:tcPr>
          <w:p>
            <w:pPr>
              <w:pStyle w:val="7"/>
              <w:spacing w:before="7"/>
              <w:rPr>
                <w:sz w:val="30"/>
              </w:rPr>
            </w:pPr>
          </w:p>
          <w:p>
            <w:pPr>
              <w:pStyle w:val="7"/>
              <w:tabs>
                <w:tab w:val="left" w:pos="490"/>
              </w:tabs>
              <w:ind w:left="10"/>
              <w:jc w:val="center"/>
              <w:rPr>
                <w:sz w:val="24"/>
              </w:rPr>
            </w:pPr>
            <w:r>
              <w:rPr>
                <w:sz w:val="24"/>
              </w:rPr>
              <w:t>项</w:t>
            </w:r>
            <w:r>
              <w:rPr>
                <w:sz w:val="24"/>
              </w:rPr>
              <w:tab/>
            </w:r>
            <w:r>
              <w:rPr>
                <w:sz w:val="24"/>
              </w:rPr>
              <w:t>目</w:t>
            </w:r>
          </w:p>
        </w:tc>
        <w:tc>
          <w:tcPr>
            <w:tcW w:w="6097" w:type="dxa"/>
            <w:noWrap w:val="0"/>
            <w:vAlign w:val="top"/>
          </w:tcPr>
          <w:p>
            <w:pPr>
              <w:pStyle w:val="7"/>
              <w:spacing w:before="7"/>
              <w:rPr>
                <w:sz w:val="30"/>
              </w:rPr>
            </w:pPr>
          </w:p>
          <w:p>
            <w:pPr>
              <w:pStyle w:val="7"/>
              <w:ind w:left="2187" w:right="2179"/>
              <w:jc w:val="center"/>
              <w:rPr>
                <w:sz w:val="24"/>
              </w:rPr>
            </w:pPr>
            <w:r>
              <w:rPr>
                <w:sz w:val="24"/>
              </w:rPr>
              <w:t>变更责任的界定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4" w:hRule="atLeast"/>
        </w:trPr>
        <w:tc>
          <w:tcPr>
            <w:tcW w:w="2233" w:type="dxa"/>
            <w:noWrap w:val="0"/>
            <w:vAlign w:val="top"/>
          </w:tcPr>
          <w:p>
            <w:pPr>
              <w:pStyle w:val="7"/>
              <w:rPr>
                <w:sz w:val="24"/>
              </w:rPr>
            </w:pPr>
          </w:p>
          <w:p>
            <w:pPr>
              <w:pStyle w:val="7"/>
              <w:rPr>
                <w:sz w:val="24"/>
              </w:rPr>
            </w:pPr>
          </w:p>
          <w:p>
            <w:pPr>
              <w:pStyle w:val="7"/>
              <w:rPr>
                <w:sz w:val="24"/>
              </w:rPr>
            </w:pPr>
          </w:p>
          <w:p>
            <w:pPr>
              <w:pStyle w:val="7"/>
              <w:rPr>
                <w:sz w:val="24"/>
              </w:rPr>
            </w:pPr>
          </w:p>
          <w:p>
            <w:pPr>
              <w:pStyle w:val="7"/>
              <w:rPr>
                <w:sz w:val="24"/>
              </w:rPr>
            </w:pPr>
          </w:p>
          <w:p>
            <w:pPr>
              <w:pStyle w:val="7"/>
              <w:rPr>
                <w:sz w:val="24"/>
              </w:rPr>
            </w:pPr>
          </w:p>
          <w:p>
            <w:pPr>
              <w:pStyle w:val="7"/>
              <w:rPr>
                <w:sz w:val="24"/>
              </w:rPr>
            </w:pPr>
          </w:p>
          <w:p>
            <w:pPr>
              <w:pStyle w:val="7"/>
              <w:spacing w:before="10"/>
              <w:rPr>
                <w:sz w:val="18"/>
              </w:rPr>
            </w:pPr>
          </w:p>
          <w:p>
            <w:pPr>
              <w:pStyle w:val="7"/>
              <w:spacing w:before="1" w:line="242" w:lineRule="auto"/>
              <w:ind w:left="876" w:right="624" w:hanging="240"/>
              <w:rPr>
                <w:sz w:val="24"/>
              </w:rPr>
            </w:pPr>
            <w:r>
              <w:rPr>
                <w:sz w:val="24"/>
              </w:rPr>
              <w:t>责任界定意见</w:t>
            </w:r>
          </w:p>
        </w:tc>
        <w:tc>
          <w:tcPr>
            <w:tcW w:w="6097" w:type="dxa"/>
            <w:noWrap w:val="0"/>
            <w:vAlign w:val="top"/>
          </w:tcPr>
          <w:p>
            <w:pPr>
              <w:pStyle w:val="7"/>
              <w:rPr>
                <w:sz w:val="24"/>
              </w:rPr>
            </w:pPr>
          </w:p>
          <w:p>
            <w:pPr>
              <w:pStyle w:val="7"/>
              <w:rPr>
                <w:sz w:val="24"/>
              </w:rPr>
            </w:pPr>
          </w:p>
          <w:p>
            <w:pPr>
              <w:pStyle w:val="7"/>
              <w:rPr>
                <w:sz w:val="24"/>
              </w:rPr>
            </w:pPr>
          </w:p>
          <w:p>
            <w:pPr>
              <w:pStyle w:val="7"/>
              <w:rPr>
                <w:sz w:val="24"/>
              </w:rPr>
            </w:pPr>
          </w:p>
          <w:p>
            <w:pPr>
              <w:pStyle w:val="7"/>
              <w:rPr>
                <w:sz w:val="24"/>
              </w:rPr>
            </w:pPr>
          </w:p>
          <w:p>
            <w:pPr>
              <w:pStyle w:val="7"/>
              <w:rPr>
                <w:sz w:val="24"/>
              </w:rPr>
            </w:pPr>
          </w:p>
          <w:p>
            <w:pPr>
              <w:pStyle w:val="7"/>
              <w:rPr>
                <w:sz w:val="24"/>
              </w:rPr>
            </w:pPr>
          </w:p>
          <w:p>
            <w:pPr>
              <w:pStyle w:val="7"/>
              <w:rPr>
                <w:sz w:val="24"/>
              </w:rPr>
            </w:pPr>
          </w:p>
          <w:p>
            <w:pPr>
              <w:pStyle w:val="7"/>
              <w:rPr>
                <w:sz w:val="24"/>
              </w:rPr>
            </w:pPr>
          </w:p>
          <w:p>
            <w:pPr>
              <w:pStyle w:val="7"/>
              <w:rPr>
                <w:sz w:val="24"/>
              </w:rPr>
            </w:pPr>
          </w:p>
          <w:p>
            <w:pPr>
              <w:pStyle w:val="7"/>
              <w:rPr>
                <w:sz w:val="24"/>
              </w:rPr>
            </w:pPr>
          </w:p>
          <w:p>
            <w:pPr>
              <w:pStyle w:val="7"/>
              <w:rPr>
                <w:sz w:val="24"/>
              </w:rPr>
            </w:pPr>
          </w:p>
          <w:p>
            <w:pPr>
              <w:pStyle w:val="7"/>
              <w:spacing w:before="10"/>
              <w:rPr>
                <w:sz w:val="28"/>
              </w:rPr>
            </w:pPr>
          </w:p>
          <w:p>
            <w:pPr>
              <w:pStyle w:val="7"/>
              <w:spacing w:before="1" w:line="487" w:lineRule="auto"/>
              <w:ind w:left="1547" w:right="2617"/>
              <w:rPr>
                <w:sz w:val="24"/>
              </w:rPr>
            </w:pPr>
            <w:r>
              <w:rPr>
                <w:sz w:val="24"/>
              </w:rPr>
              <w:t xml:space="preserve">界定人员签字： </w:t>
            </w:r>
          </w:p>
          <w:p>
            <w:pPr>
              <w:pStyle w:val="7"/>
              <w:spacing w:before="1" w:line="487" w:lineRule="auto"/>
              <w:ind w:left="1547" w:right="2617"/>
              <w:rPr>
                <w:sz w:val="24"/>
              </w:rPr>
            </w:pPr>
            <w:r>
              <w:rPr>
                <w:spacing w:val="-3"/>
                <w:sz w:val="24"/>
              </w:rPr>
              <w:t>项目负责人签字：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53" w:hRule="atLeast"/>
        </w:trPr>
        <w:tc>
          <w:tcPr>
            <w:tcW w:w="2233" w:type="dxa"/>
            <w:noWrap w:val="0"/>
            <w:vAlign w:val="top"/>
          </w:tcPr>
          <w:p>
            <w:pPr>
              <w:pStyle w:val="7"/>
              <w:rPr>
                <w:sz w:val="24"/>
              </w:rPr>
            </w:pPr>
          </w:p>
          <w:p>
            <w:pPr>
              <w:pStyle w:val="7"/>
              <w:rPr>
                <w:sz w:val="24"/>
              </w:rPr>
            </w:pPr>
          </w:p>
          <w:p>
            <w:pPr>
              <w:pStyle w:val="7"/>
              <w:rPr>
                <w:sz w:val="24"/>
              </w:rPr>
            </w:pPr>
          </w:p>
          <w:p>
            <w:pPr>
              <w:pStyle w:val="7"/>
              <w:spacing w:before="2"/>
              <w:rPr>
                <w:sz w:val="19"/>
              </w:rPr>
            </w:pPr>
          </w:p>
          <w:p>
            <w:pPr>
              <w:pStyle w:val="7"/>
              <w:spacing w:line="242" w:lineRule="auto"/>
              <w:ind w:left="996" w:right="144" w:hanging="840"/>
              <w:rPr>
                <w:sz w:val="24"/>
              </w:rPr>
            </w:pPr>
            <w:r>
              <w:rPr>
                <w:sz w:val="24"/>
              </w:rPr>
              <w:t>审核意见及处理措施</w:t>
            </w:r>
          </w:p>
        </w:tc>
        <w:tc>
          <w:tcPr>
            <w:tcW w:w="6097" w:type="dxa"/>
            <w:noWrap w:val="0"/>
            <w:vAlign w:val="top"/>
          </w:tcPr>
          <w:p>
            <w:pPr>
              <w:pStyle w:val="7"/>
              <w:rPr>
                <w:sz w:val="24"/>
              </w:rPr>
            </w:pPr>
          </w:p>
          <w:p>
            <w:pPr>
              <w:pStyle w:val="7"/>
              <w:rPr>
                <w:sz w:val="24"/>
              </w:rPr>
            </w:pPr>
          </w:p>
          <w:p>
            <w:pPr>
              <w:pStyle w:val="7"/>
              <w:rPr>
                <w:sz w:val="24"/>
              </w:rPr>
            </w:pPr>
          </w:p>
          <w:p>
            <w:pPr>
              <w:pStyle w:val="7"/>
              <w:rPr>
                <w:sz w:val="24"/>
              </w:rPr>
            </w:pPr>
          </w:p>
          <w:p>
            <w:pPr>
              <w:pStyle w:val="7"/>
              <w:rPr>
                <w:sz w:val="26"/>
              </w:rPr>
            </w:pPr>
          </w:p>
          <w:p>
            <w:pPr>
              <w:pStyle w:val="7"/>
              <w:spacing w:before="1" w:line="242" w:lineRule="auto"/>
              <w:ind w:left="107" w:right="3937"/>
              <w:rPr>
                <w:rFonts w:hint="eastAsia" w:eastAsia="宋体"/>
                <w:spacing w:val="-9"/>
                <w:sz w:val="24"/>
                <w:lang w:eastAsia="zh-CN"/>
              </w:rPr>
            </w:pPr>
            <w:r>
              <w:rPr>
                <w:sz w:val="24"/>
              </w:rPr>
              <w:t>建设单位（公章</w:t>
            </w:r>
            <w:r>
              <w:rPr>
                <w:rFonts w:hint="eastAsia"/>
                <w:sz w:val="24"/>
                <w:lang w:eastAsia="zh-CN"/>
              </w:rPr>
              <w:t>）：</w:t>
            </w:r>
          </w:p>
          <w:p>
            <w:pPr>
              <w:pStyle w:val="7"/>
              <w:spacing w:before="1" w:line="242" w:lineRule="auto"/>
              <w:ind w:left="107" w:right="3937"/>
              <w:rPr>
                <w:sz w:val="24"/>
              </w:rPr>
            </w:pPr>
            <w:r>
              <w:rPr>
                <w:sz w:val="24"/>
              </w:rPr>
              <w:t>法定代表人签字：</w:t>
            </w:r>
          </w:p>
        </w:tc>
      </w:tr>
    </w:tbl>
    <w:p>
      <w:pPr>
        <w:pStyle w:val="2"/>
        <w:rPr>
          <w:rFonts w:ascii="宋体"/>
          <w:sz w:val="20"/>
        </w:rPr>
      </w:pPr>
    </w:p>
    <w:p>
      <w:pPr>
        <w:tabs>
          <w:tab w:val="left" w:pos="480"/>
          <w:tab w:val="left" w:pos="1200"/>
          <w:tab w:val="left" w:pos="1920"/>
        </w:tabs>
        <w:spacing w:before="207"/>
        <w:ind w:left="0" w:right="506" w:firstLine="0"/>
        <w:jc w:val="right"/>
        <w:rPr>
          <w:sz w:val="24"/>
        </w:rPr>
        <w:sectPr>
          <w:pgSz w:w="11910" w:h="16840"/>
          <w:pgMar w:top="1701" w:right="1587" w:bottom="1701" w:left="1587" w:header="0" w:footer="1116" w:gutter="0"/>
          <w:pgBorders>
            <w:top w:val="none" w:sz="0" w:space="0"/>
            <w:left w:val="none" w:sz="0" w:space="0"/>
            <w:bottom w:val="none" w:sz="0" w:space="0"/>
            <w:right w:val="none" w:sz="0" w:space="0"/>
          </w:pgBorders>
          <w:pgNumType w:fmt="numberInDash"/>
          <w:cols w:space="720" w:num="1"/>
          <w:rtlGutter w:val="0"/>
        </w:sectPr>
      </w:pPr>
      <w:r>
        <w:rPr>
          <w:rFonts w:ascii="Times New Roman" w:eastAsia="Times New Roman"/>
          <w:sz w:val="24"/>
          <w:u w:val="single"/>
        </w:rPr>
        <w:t xml:space="preserve"> </w:t>
      </w:r>
      <w:r>
        <w:rPr>
          <w:rFonts w:ascii="Times New Roman" w:eastAsia="Times New Roman"/>
          <w:sz w:val="24"/>
          <w:u w:val="single"/>
        </w:rPr>
        <w:tab/>
      </w:r>
      <w:r>
        <w:rPr>
          <w:sz w:val="24"/>
        </w:rPr>
        <w:t>年</w:t>
      </w:r>
      <w:r>
        <w:rPr>
          <w:sz w:val="24"/>
          <w:u w:val="single"/>
        </w:rPr>
        <w:t xml:space="preserve"> </w:t>
      </w:r>
      <w:r>
        <w:rPr>
          <w:sz w:val="24"/>
          <w:u w:val="single"/>
        </w:rPr>
        <w:tab/>
      </w:r>
      <w:r>
        <w:rPr>
          <w:sz w:val="24"/>
        </w:rPr>
        <w:t>月</w:t>
      </w:r>
      <w:r>
        <w:rPr>
          <w:sz w:val="24"/>
          <w:u w:val="single"/>
        </w:rPr>
        <w:t xml:space="preserve"> </w:t>
      </w:r>
      <w:r>
        <w:rPr>
          <w:sz w:val="24"/>
          <w:u w:val="single"/>
        </w:rPr>
        <w:tab/>
      </w:r>
      <w:r>
        <w:rPr>
          <w:sz w:val="24"/>
        </w:rPr>
        <w:t>日</w:t>
      </w:r>
    </w:p>
    <w:p>
      <w:pPr>
        <w:rPr>
          <w:rFonts w:hint="eastAsia" w:ascii="黑体" w:hAnsi="黑体" w:eastAsia="黑体" w:cs="黑体"/>
          <w:b w:val="0"/>
          <w:bCs w:val="0"/>
          <w:color w:val="000000"/>
          <w:sz w:val="13"/>
          <w:szCs w:val="13"/>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xN2VkOTE1YTlhYjE5ZGQ4OGJmOTYxZjhkMGJiZTgifQ=="/>
  </w:docVars>
  <w:rsids>
    <w:rsidRoot w:val="655A51A6"/>
    <w:rsid w:val="0F4803FE"/>
    <w:rsid w:val="1A715157"/>
    <w:rsid w:val="26D56E79"/>
    <w:rsid w:val="655A51A6"/>
    <w:rsid w:val="7C7B0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rPr>
      <w:rFonts w:ascii="仿宋" w:hAnsi="仿宋" w:eastAsia="仿宋" w:cs="仿宋"/>
      <w:sz w:val="32"/>
      <w:szCs w:val="32"/>
      <w:lang w:val="zh-CN" w:eastAsia="zh-CN" w:bidi="zh-CN"/>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5114</Words>
  <Characters>5164</Characters>
  <Lines>0</Lines>
  <Paragraphs>0</Paragraphs>
  <TotalTime>37</TotalTime>
  <ScaleCrop>false</ScaleCrop>
  <LinksUpToDate>false</LinksUpToDate>
  <CharactersWithSpaces>5321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2020-11-27T07:52:00Z</dcterms:created>
  <dc:creator>✿ 生姜小菜°</dc:creator>
  <cp:lastModifiedBy>开开</cp:lastModifiedBy>
  <dcterms:modified xsi:type="dcterms:W3CDTF">2022-11-17T08:28:04Z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69F800E1F40047FBB571CBEC19B04CA6</vt:lpwstr>
  </property>
</Properties>
</file>