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pacing w:line="560" w:lineRule="exact"/>
        <w:ind w:right="0"/>
        <w:jc w:val="both"/>
        <w:textAlignment w:val="auto"/>
        <w:rPr>
          <w:rFonts w:hint="default" w:ascii="Times New Roman" w:hAnsi="Times New Roman" w:eastAsia="宋体" w:cs="Times New Roman"/>
          <w:b w:val="0"/>
          <w:bCs/>
          <w:color w:val="auto"/>
          <w:spacing w:val="0"/>
          <w:kern w:val="4"/>
          <w:sz w:val="32"/>
          <w:szCs w:val="32"/>
          <w:shd w:val="clear" w:color="FFFFFF" w:fill="D9D9D9"/>
          <w:lang w:val="en-US" w:eastAsia="zh-CN"/>
        </w:rPr>
      </w:pPr>
      <w:r>
        <w:rPr>
          <w:rFonts w:hint="default" w:ascii="Times New Roman" w:hAnsi="Times New Roman" w:eastAsia="宋体" w:cs="Times New Roman"/>
          <w:b w:val="0"/>
          <w:bCs/>
          <w:color w:val="auto"/>
          <w:spacing w:val="0"/>
          <w:kern w:val="4"/>
          <w:sz w:val="32"/>
          <w:szCs w:val="32"/>
          <w:shd w:val="clear" w:color="FFFFFF" w:fill="D9D9D9"/>
          <w:lang w:val="en-US" w:eastAsia="zh-CN"/>
        </w:rPr>
        <w:t>阴影为修改内容</w:t>
      </w:r>
    </w:p>
    <w:p>
      <w:pPr>
        <w:keepNext w:val="0"/>
        <w:keepLines w:val="0"/>
        <w:pageBreakBefore w:val="0"/>
        <w:widowControl w:val="0"/>
        <w:kinsoku/>
        <w:wordWrap/>
        <w:overflowPunct/>
        <w:topLinePunct w:val="0"/>
        <w:autoSpaceDE/>
        <w:autoSpaceDN/>
        <w:bidi w:val="0"/>
        <w:adjustRightInd/>
        <w:snapToGrid/>
        <w:spacing w:line="560" w:lineRule="exact"/>
        <w:ind w:left="0" w:right="0" w:firstLine="880" w:firstLineChars="200"/>
        <w:jc w:val="center"/>
        <w:textAlignment w:val="auto"/>
        <w:rPr>
          <w:rFonts w:hint="default" w:ascii="Times New Roman" w:hAnsi="Times New Roman" w:eastAsia="方正小标宋_GBK" w:cs="Times New Roman"/>
          <w:b w:val="0"/>
          <w:bCs/>
          <w:snapToGrid/>
          <w:kern w:val="2"/>
          <w:sz w:val="44"/>
          <w:szCs w:val="44"/>
          <w:lang w:val="en-US"/>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880" w:firstLineChars="200"/>
        <w:jc w:val="center"/>
        <w:textAlignment w:val="auto"/>
        <w:rPr>
          <w:rFonts w:hint="default" w:ascii="Times New Roman" w:hAnsi="Times New Roman" w:eastAsia="方正小标宋_GBK" w:cs="Times New Roman"/>
          <w:b w:val="0"/>
          <w:bCs/>
          <w:snapToGrid/>
          <w:kern w:val="2"/>
          <w:sz w:val="44"/>
          <w:szCs w:val="44"/>
          <w:lang w:val="en-US"/>
        </w:rPr>
      </w:pPr>
      <w:r>
        <w:rPr>
          <w:rFonts w:hint="default" w:ascii="Times New Roman" w:hAnsi="Times New Roman" w:eastAsia="方正小标宋_GBK" w:cs="Times New Roman"/>
          <w:b w:val="0"/>
          <w:bCs/>
          <w:snapToGrid/>
          <w:kern w:val="2"/>
          <w:sz w:val="44"/>
          <w:szCs w:val="44"/>
          <w:lang w:val="en-US"/>
        </w:rPr>
        <w:t>溧水区国有投资项目标后监督管理办法</w:t>
      </w:r>
    </w:p>
    <w:p>
      <w:pPr>
        <w:keepNext w:val="0"/>
        <w:keepLines w:val="0"/>
        <w:pageBreakBefore w:val="0"/>
        <w:wordWrap/>
        <w:overflowPunct/>
        <w:topLinePunct w:val="0"/>
        <w:bidi w:val="0"/>
        <w:spacing w:line="560" w:lineRule="exact"/>
        <w:ind w:left="0" w:right="0" w:firstLine="420" w:firstLineChars="200"/>
        <w:rPr>
          <w:rFonts w:hint="default" w:ascii="Times New Roman" w:hAnsi="Times New Roman" w:cs="Times New Roman"/>
          <w:b w:val="0"/>
          <w:bCs/>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_GB2312" w:cs="Times New Roman"/>
          <w:b w:val="0"/>
          <w:bCs/>
          <w:sz w:val="32"/>
          <w:szCs w:val="32"/>
          <w:lang w:eastAsia="zh-CN"/>
        </w:rPr>
      </w:pP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lang w:val="en-US" w:eastAsia="zh-CN"/>
        </w:rPr>
        <w:t>2018年5月9日以溧政规〔2018〕1号文发布 根据2020年11月13日发布的《南京市溧水区人民政府关于修改废止部分区政府规范性文件的决定》第一次修正 根据年 月 日发布的《南京市溧水区人民政府关于对部分区政府行政规范性文件予以保留、废止、修改和延长有效期的决定》第二次修正</w:t>
      </w:r>
      <w:r>
        <w:rPr>
          <w:rFonts w:hint="default" w:ascii="Times New Roman" w:hAnsi="Times New Roman" w:eastAsia="仿宋_GB2312" w:cs="Times New Roman"/>
          <w:b w:val="0"/>
          <w:bCs/>
          <w:sz w:val="32"/>
          <w:szCs w:val="32"/>
          <w:lang w:eastAsia="zh-CN"/>
        </w:rPr>
        <w:t>）</w:t>
      </w:r>
    </w:p>
    <w:p>
      <w:pPr>
        <w:keepNext w:val="0"/>
        <w:keepLines w:val="0"/>
        <w:pageBreakBefore w:val="0"/>
        <w:wordWrap/>
        <w:overflowPunct/>
        <w:topLinePunct w:val="0"/>
        <w:bidi w:val="0"/>
        <w:spacing w:line="560" w:lineRule="exact"/>
        <w:ind w:left="0" w:right="0" w:firstLine="420" w:firstLineChars="200"/>
        <w:rPr>
          <w:rFonts w:hint="default" w:ascii="Times New Roman" w:hAnsi="Times New Roman" w:cs="Times New Roman"/>
          <w:b w:val="0"/>
          <w:bCs/>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kern w:val="2"/>
          <w:sz w:val="32"/>
          <w:szCs w:val="32"/>
        </w:rPr>
      </w:pPr>
      <w:r>
        <w:rPr>
          <w:rFonts w:hint="default" w:ascii="Times New Roman" w:hAnsi="Times New Roman" w:eastAsia="仿宋_GB2312" w:cs="Times New Roman"/>
          <w:b w:val="0"/>
          <w:bCs/>
          <w:snapToGrid/>
          <w:kern w:val="2"/>
          <w:sz w:val="32"/>
          <w:szCs w:val="32"/>
        </w:rPr>
        <w:t>为进一步加强我区国有投资项目的招标投标后续管理，促进项目实施各方责任主体认真履职，提高国有投资项目质量和效益，根据《建筑法》、《招标投标法》等有关法律、法规及相关规定，结合本区实际，制定本办法。</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center"/>
        <w:textAlignment w:val="auto"/>
        <w:rPr>
          <w:rFonts w:hint="default" w:ascii="Times New Roman" w:hAnsi="Times New Roman" w:eastAsia="黑体" w:cs="Times New Roman"/>
          <w:b w:val="0"/>
          <w:bCs/>
          <w:snapToGrid/>
          <w:color w:val="000000"/>
          <w:kern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center"/>
        <w:textAlignment w:val="auto"/>
        <w:rPr>
          <w:rFonts w:hint="default" w:ascii="Times New Roman" w:hAnsi="Times New Roman" w:eastAsia="黑体" w:cs="Times New Roman"/>
          <w:b w:val="0"/>
          <w:bCs/>
          <w:snapToGrid/>
          <w:color w:val="000000"/>
          <w:kern w:val="2"/>
          <w:sz w:val="32"/>
          <w:szCs w:val="32"/>
        </w:rPr>
      </w:pPr>
      <w:r>
        <w:rPr>
          <w:rFonts w:hint="default" w:ascii="Times New Roman" w:hAnsi="Times New Roman" w:eastAsia="黑体" w:cs="Times New Roman"/>
          <w:b w:val="0"/>
          <w:bCs/>
          <w:snapToGrid/>
          <w:color w:val="000000"/>
          <w:kern w:val="2"/>
          <w:sz w:val="32"/>
          <w:szCs w:val="32"/>
        </w:rPr>
        <w:t>第一章 总 则</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kern w:val="2"/>
          <w:sz w:val="32"/>
          <w:szCs w:val="32"/>
        </w:rPr>
        <w:t>第一条</w:t>
      </w:r>
      <w:r>
        <w:rPr>
          <w:rFonts w:hint="default" w:ascii="Times New Roman" w:hAnsi="Times New Roman" w:eastAsia="黑体" w:cs="Times New Roman"/>
          <w:b w:val="0"/>
          <w:bCs/>
          <w:snapToGrid/>
          <w:kern w:val="2"/>
          <w:sz w:val="32"/>
          <w:szCs w:val="32"/>
          <w:lang w:val="en-US" w:eastAsia="zh-CN"/>
        </w:rPr>
        <w:t xml:space="preserve">  </w:t>
      </w:r>
      <w:r>
        <w:rPr>
          <w:rFonts w:hint="default" w:ascii="Times New Roman" w:hAnsi="Times New Roman" w:eastAsia="仿宋_GB2312" w:cs="Times New Roman"/>
          <w:b w:val="0"/>
          <w:bCs/>
          <w:snapToGrid/>
          <w:color w:val="000000"/>
          <w:kern w:val="2"/>
          <w:sz w:val="32"/>
          <w:szCs w:val="32"/>
        </w:rPr>
        <w:t>本办法适用于溧水区国有资金投资或者国有资金投资占控股或者主导地位的房屋建筑工程、市政基础设施、水利和交通等工程项目及其配套、附属工程</w:t>
      </w:r>
      <w:r>
        <w:rPr>
          <w:rFonts w:hint="eastAsia"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以下简称建设工程项目</w:t>
      </w:r>
      <w:r>
        <w:rPr>
          <w:rFonts w:hint="eastAsia" w:ascii="Times New Roman" w:hAnsi="Times New Roman" w:eastAsia="仿宋_GB2312" w:cs="Times New Roman"/>
          <w:b w:val="0"/>
          <w:bCs/>
          <w:snapToGrid/>
          <w:color w:val="000000"/>
          <w:kern w:val="2"/>
          <w:sz w:val="32"/>
          <w:szCs w:val="32"/>
          <w:lang w:val="en-US" w:eastAsia="zh-CN"/>
        </w:rPr>
        <w:t>)</w:t>
      </w:r>
      <w:r>
        <w:rPr>
          <w:rFonts w:hint="default" w:ascii="Times New Roman" w:hAnsi="Times New Roman" w:eastAsia="仿宋_GB2312" w:cs="Times New Roman"/>
          <w:b w:val="0"/>
          <w:bCs/>
          <w:snapToGrid/>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z w:val="32"/>
          <w:szCs w:val="32"/>
        </w:rPr>
        <w:t>第二条</w:t>
      </w:r>
      <w:r>
        <w:rPr>
          <w:rFonts w:hint="default" w:ascii="Times New Roman" w:hAnsi="Times New Roman" w:eastAsia="黑体" w:cs="Times New Roman"/>
          <w:b w:val="0"/>
          <w:bCs/>
          <w:sz w:val="32"/>
          <w:szCs w:val="32"/>
          <w:lang w:val="en-US" w:eastAsia="zh-CN"/>
        </w:rPr>
        <w:t xml:space="preserve">  </w:t>
      </w:r>
      <w:r>
        <w:rPr>
          <w:rFonts w:hint="default" w:ascii="Times New Roman" w:hAnsi="Times New Roman" w:eastAsia="仿宋_GB2312" w:cs="Times New Roman"/>
          <w:b w:val="0"/>
          <w:bCs/>
          <w:snapToGrid/>
          <w:color w:val="000000"/>
          <w:kern w:val="2"/>
          <w:sz w:val="32"/>
          <w:szCs w:val="32"/>
        </w:rPr>
        <w:t>本办法所称标后监督管理，是指建设单位和区发改、财政、城建、交运、水务、</w:t>
      </w:r>
      <w:r>
        <w:rPr>
          <w:rFonts w:hint="default" w:ascii="Times New Roman" w:hAnsi="Times New Roman" w:eastAsia="仿宋_GB2312" w:cs="Times New Roman"/>
          <w:b w:val="0"/>
          <w:bCs/>
          <w:snapToGrid/>
          <w:color w:val="000000"/>
          <w:kern w:val="2"/>
          <w:sz w:val="32"/>
          <w:szCs w:val="32"/>
          <w:lang w:val="en-US" w:eastAsia="zh-CN"/>
        </w:rPr>
        <w:t>规划资源、农业农村、</w:t>
      </w:r>
      <w:r>
        <w:rPr>
          <w:rFonts w:hint="default" w:ascii="Times New Roman" w:hAnsi="Times New Roman" w:eastAsia="仿宋_GB2312" w:cs="Times New Roman"/>
          <w:b w:val="0"/>
          <w:bCs/>
          <w:snapToGrid/>
          <w:color w:val="000000"/>
          <w:kern w:val="2"/>
          <w:sz w:val="32"/>
          <w:szCs w:val="32"/>
        </w:rPr>
        <w:t>审计、行政审批等政府相关职能部门根据各自职责对中标后的国有投资工程进行监督管理的活动。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kern w:val="2"/>
          <w:sz w:val="32"/>
          <w:szCs w:val="32"/>
        </w:rPr>
        <w:t>第三条</w:t>
      </w:r>
      <w:r>
        <w:rPr>
          <w:rFonts w:hint="default" w:ascii="Times New Roman" w:hAnsi="Times New Roman" w:eastAsia="黑体" w:cs="Times New Roman"/>
          <w:b w:val="0"/>
          <w:bCs/>
          <w:snapToGrid/>
          <w:kern w:val="2"/>
          <w:sz w:val="32"/>
          <w:szCs w:val="32"/>
          <w:lang w:val="en-US" w:eastAsia="zh-CN"/>
        </w:rPr>
        <w:t xml:space="preserve">  </w:t>
      </w:r>
      <w:r>
        <w:rPr>
          <w:rFonts w:hint="default" w:ascii="Times New Roman" w:hAnsi="Times New Roman" w:eastAsia="仿宋_GB2312" w:cs="Times New Roman"/>
          <w:b w:val="0"/>
          <w:bCs/>
          <w:snapToGrid/>
          <w:color w:val="000000"/>
          <w:kern w:val="2"/>
          <w:sz w:val="32"/>
          <w:szCs w:val="32"/>
        </w:rPr>
        <w:t>建设单位是标后管理的责任主体，应当建立由单位领导、专业技术人员等组成的管理班子，明确项目负责人，加强标后管理。发现问题及时提出整改意见并以书面形式报相关行政主管部门。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cs="Times New Roman"/>
          <w:b w:val="0"/>
          <w:bCs/>
          <w:spacing w:val="37"/>
          <w:sz w:val="32"/>
          <w:szCs w:val="32"/>
        </w:rPr>
      </w:pPr>
      <w:r>
        <w:rPr>
          <w:rFonts w:hint="default" w:ascii="Times New Roman" w:hAnsi="Times New Roman" w:eastAsia="黑体" w:cs="Times New Roman"/>
          <w:b w:val="0"/>
          <w:bCs/>
          <w:snapToGrid/>
          <w:color w:val="000000"/>
          <w:kern w:val="2"/>
          <w:sz w:val="32"/>
          <w:szCs w:val="32"/>
        </w:rPr>
        <w:t>第四条</w:t>
      </w:r>
      <w:r>
        <w:rPr>
          <w:rFonts w:hint="default" w:ascii="Times New Roman" w:hAnsi="Times New Roman" w:eastAsia="黑体" w:cs="Times New Roman"/>
          <w:b w:val="0"/>
          <w:bCs/>
          <w:snapToGrid/>
          <w:color w:val="000000"/>
          <w:kern w:val="2"/>
          <w:sz w:val="32"/>
          <w:szCs w:val="32"/>
          <w:lang w:val="en-US" w:eastAsia="zh-CN"/>
        </w:rPr>
        <w:t xml:space="preserve">  </w:t>
      </w:r>
      <w:r>
        <w:rPr>
          <w:rFonts w:hint="default" w:ascii="Times New Roman" w:hAnsi="Times New Roman" w:eastAsia="仿宋_GB2312" w:cs="Times New Roman"/>
          <w:b w:val="0"/>
          <w:bCs/>
          <w:snapToGrid/>
          <w:color w:val="000000"/>
          <w:kern w:val="2"/>
          <w:sz w:val="32"/>
          <w:szCs w:val="32"/>
        </w:rPr>
        <w:t>区政府投资建设项目招投标监督管理领导小组办公室</w:t>
      </w:r>
      <w:r>
        <w:rPr>
          <w:rFonts w:hint="eastAsia" w:ascii="Times New Roman" w:hAnsi="Times New Roman" w:eastAsia="仿宋_GB2312" w:cs="Times New Roman"/>
          <w:b w:val="0"/>
          <w:bCs/>
          <w:snapToGrid/>
          <w:color w:val="000000"/>
          <w:kern w:val="2"/>
          <w:sz w:val="32"/>
          <w:szCs w:val="32"/>
          <w:lang w:eastAsia="zh-CN"/>
        </w:rPr>
        <w:t>（招管办）</w:t>
      </w:r>
      <w:r>
        <w:rPr>
          <w:rFonts w:hint="default" w:ascii="Times New Roman" w:hAnsi="Times New Roman" w:eastAsia="仿宋_GB2312" w:cs="Times New Roman"/>
          <w:b w:val="0"/>
          <w:bCs/>
          <w:snapToGrid/>
          <w:color w:val="000000"/>
          <w:kern w:val="2"/>
          <w:sz w:val="32"/>
          <w:szCs w:val="32"/>
        </w:rPr>
        <w:t>依据区政府授权，组织相关部门开展联合检查及相关协调工作。</w:t>
      </w:r>
    </w:p>
    <w:p>
      <w:pPr>
        <w:keepNext w:val="0"/>
        <w:keepLines w:val="0"/>
        <w:pageBreakBefore w:val="0"/>
        <w:wordWrap/>
        <w:overflowPunct/>
        <w:topLinePunct w:val="0"/>
        <w:bidi w:val="0"/>
        <w:spacing w:line="560" w:lineRule="exact"/>
        <w:ind w:left="0" w:right="0" w:firstLine="640" w:firstLineChars="200"/>
        <w:jc w:val="center"/>
        <w:rPr>
          <w:rFonts w:hint="default" w:ascii="Times New Roman" w:hAnsi="Times New Roman" w:eastAsia="黑体" w:cs="Times New Roman"/>
          <w:b w:val="0"/>
          <w:bCs/>
          <w:snapToGrid/>
          <w:kern w:val="2"/>
          <w:sz w:val="32"/>
          <w:szCs w:val="32"/>
        </w:rPr>
      </w:pPr>
    </w:p>
    <w:p>
      <w:pPr>
        <w:keepNext w:val="0"/>
        <w:keepLines w:val="0"/>
        <w:pageBreakBefore w:val="0"/>
        <w:wordWrap/>
        <w:overflowPunct/>
        <w:topLinePunct w:val="0"/>
        <w:bidi w:val="0"/>
        <w:spacing w:line="560" w:lineRule="exact"/>
        <w:ind w:left="0" w:right="0" w:firstLine="640" w:firstLineChars="200"/>
        <w:jc w:val="center"/>
        <w:rPr>
          <w:rFonts w:hint="default" w:ascii="Times New Roman" w:hAnsi="Times New Roman" w:cs="Times New Roman"/>
          <w:b w:val="0"/>
          <w:bCs/>
          <w:spacing w:val="37"/>
          <w:sz w:val="32"/>
          <w:szCs w:val="32"/>
        </w:rPr>
      </w:pPr>
      <w:r>
        <w:rPr>
          <w:rFonts w:hint="default" w:ascii="Times New Roman" w:hAnsi="Times New Roman" w:eastAsia="黑体" w:cs="Times New Roman"/>
          <w:b w:val="0"/>
          <w:bCs/>
          <w:snapToGrid/>
          <w:kern w:val="2"/>
          <w:sz w:val="32"/>
          <w:szCs w:val="32"/>
        </w:rPr>
        <w:t>第二章</w:t>
      </w:r>
      <w:r>
        <w:rPr>
          <w:rFonts w:hint="default" w:ascii="Times New Roman" w:hAnsi="Times New Roman" w:eastAsia="黑体" w:cs="Times New Roman"/>
          <w:b w:val="0"/>
          <w:bCs/>
          <w:snapToGrid/>
          <w:kern w:val="2"/>
          <w:sz w:val="32"/>
          <w:szCs w:val="32"/>
          <w:lang w:val="en-US" w:eastAsia="zh-CN"/>
        </w:rPr>
        <w:t xml:space="preserve"> </w:t>
      </w:r>
      <w:r>
        <w:rPr>
          <w:rFonts w:hint="default" w:ascii="Times New Roman" w:hAnsi="Times New Roman" w:eastAsia="黑体" w:cs="Times New Roman"/>
          <w:b w:val="0"/>
          <w:bCs/>
          <w:snapToGrid/>
          <w:kern w:val="2"/>
          <w:sz w:val="32"/>
          <w:szCs w:val="32"/>
        </w:rPr>
        <w:t>合同订立和履行</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color w:val="000000"/>
          <w:kern w:val="2"/>
          <w:sz w:val="32"/>
          <w:szCs w:val="32"/>
        </w:rPr>
        <w:t>第五条</w:t>
      </w:r>
      <w:r>
        <w:rPr>
          <w:rFonts w:hint="default" w:ascii="Times New Roman" w:hAnsi="Times New Roman" w:eastAsia="仿宋_GB2312" w:cs="Times New Roman"/>
          <w:b w:val="0"/>
          <w:bCs/>
          <w:sz w:val="32"/>
          <w:szCs w:val="32"/>
        </w:rPr>
        <w:t> </w:t>
      </w:r>
      <w:r>
        <w:rPr>
          <w:rFonts w:hint="default" w:ascii="Times New Roman" w:hAnsi="Times New Roman" w:eastAsia="仿宋_GB2312" w:cs="Times New Roman"/>
          <w:b w:val="0"/>
          <w:bCs/>
          <w:snapToGrid/>
          <w:color w:val="000000"/>
          <w:kern w:val="2"/>
          <w:sz w:val="32"/>
          <w:szCs w:val="32"/>
        </w:rPr>
        <w:t>承发包双方应按规定及时订立书面合同， 一般应在 发出中标通知书之日起15日内，最迟应在投标有效期内并在自 中标通知书发出之日起30日内。签订合同时建设单位应核查合 同中明确的人员是否与投标承诺一致。订立书面合同后7日内报相应的行政主管部门备案。</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rPr>
        <w:t>合同签订后，不得背离合同签订与招标文件、中标的投标文件实质性内容不一致的补充合同。如需在已签订合同基础上补充、变更或解除合同的应签订书面协议，并在签订协议后7日内报原合同备案机关办理变更备案手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color w:val="000000"/>
          <w:kern w:val="2"/>
          <w:sz w:val="32"/>
          <w:szCs w:val="32"/>
        </w:rPr>
        <w:t>第六条</w:t>
      </w:r>
      <w:r>
        <w:rPr>
          <w:rFonts w:hint="default" w:ascii="Times New Roman" w:hAnsi="Times New Roman" w:eastAsia="仿宋_GB2312" w:cs="Times New Roman"/>
          <w:b w:val="0"/>
          <w:bCs/>
          <w:sz w:val="32"/>
          <w:szCs w:val="32"/>
        </w:rPr>
        <w:t> </w:t>
      </w:r>
      <w:r>
        <w:rPr>
          <w:rFonts w:hint="default" w:ascii="Times New Roman" w:hAnsi="Times New Roman" w:eastAsia="仿宋_GB2312" w:cs="Times New Roman"/>
          <w:b w:val="0"/>
          <w:bCs/>
          <w:snapToGrid/>
          <w:color w:val="000000"/>
          <w:kern w:val="2"/>
          <w:sz w:val="32"/>
          <w:szCs w:val="32"/>
        </w:rPr>
        <w:t>承包人应当严格按照招投标文件和合同履约，不得非法转包或违法分包。确需分包的项目，应符合国家法律、法规及招标文件规定，并在施工总承包合同中载明，依法签定分包合同并按规定备案。建设单位不得指定分包。</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color w:val="000000"/>
          <w:kern w:val="2"/>
          <w:sz w:val="32"/>
          <w:szCs w:val="32"/>
        </w:rPr>
        <w:t>第七条</w:t>
      </w:r>
      <w:r>
        <w:rPr>
          <w:rFonts w:hint="default" w:ascii="Times New Roman" w:hAnsi="Times New Roman" w:eastAsia="仿宋_GB2312" w:cs="Times New Roman"/>
          <w:b w:val="0"/>
          <w:bCs/>
          <w:sz w:val="32"/>
          <w:szCs w:val="32"/>
        </w:rPr>
        <w:t> </w:t>
      </w:r>
      <w:r>
        <w:rPr>
          <w:rFonts w:hint="default" w:ascii="Times New Roman" w:hAnsi="Times New Roman" w:eastAsia="仿宋_GB2312" w:cs="Times New Roman"/>
          <w:b w:val="0"/>
          <w:bCs/>
          <w:sz w:val="32"/>
          <w:szCs w:val="32"/>
          <w:lang w:val="en-US" w:eastAsia="zh-CN"/>
        </w:rPr>
        <w:t xml:space="preserve"> </w:t>
      </w:r>
      <w:r>
        <w:rPr>
          <w:rFonts w:hint="default" w:ascii="Times New Roman" w:hAnsi="Times New Roman" w:eastAsia="仿宋_GB2312" w:cs="Times New Roman"/>
          <w:b w:val="0"/>
          <w:bCs/>
          <w:snapToGrid/>
          <w:color w:val="000000"/>
          <w:kern w:val="2"/>
          <w:sz w:val="32"/>
          <w:szCs w:val="32"/>
        </w:rPr>
        <w:t>建设工程项目应实行履约担保和支付担保制度。建 设单位应当在招标文件中明确履约担保额度(中标合同金额</w:t>
      </w:r>
      <w:r>
        <w:rPr>
          <w:rFonts w:hint="default" w:ascii="Times New Roman" w:hAnsi="Times New Roman" w:eastAsia="仿宋_GB2312" w:cs="Times New Roman"/>
          <w:b w:val="0"/>
          <w:bCs/>
          <w:snapToGrid/>
          <w:color w:val="000000"/>
          <w:kern w:val="2"/>
          <w:sz w:val="32"/>
          <w:szCs w:val="32"/>
          <w:lang w:val="en-US" w:eastAsia="zh-CN"/>
        </w:rPr>
        <w:t>的</w:t>
      </w:r>
      <w:r>
        <w:rPr>
          <w:rFonts w:hint="default" w:ascii="Times New Roman" w:hAnsi="Times New Roman" w:eastAsia="仿宋_GB2312" w:cs="Times New Roman"/>
          <w:b w:val="0"/>
          <w:bCs/>
          <w:snapToGrid/>
          <w:color w:val="000000"/>
          <w:kern w:val="2"/>
          <w:sz w:val="32"/>
          <w:szCs w:val="32"/>
        </w:rPr>
        <w:t>5-10%</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明确履约担保应当在签订合同前由承包人向发包人提交；在合同中约定支付担保和履约担保的退还节点。</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color w:val="000000"/>
          <w:kern w:val="2"/>
          <w:sz w:val="32"/>
          <w:szCs w:val="32"/>
        </w:rPr>
        <w:t>第八条</w:t>
      </w:r>
      <w:r>
        <w:rPr>
          <w:rFonts w:hint="default" w:ascii="Times New Roman" w:hAnsi="Times New Roman" w:eastAsia="仿宋_GB2312" w:cs="Times New Roman"/>
          <w:b w:val="0"/>
          <w:bCs/>
          <w:sz w:val="32"/>
          <w:szCs w:val="32"/>
        </w:rPr>
        <w:t> </w:t>
      </w:r>
      <w:r>
        <w:rPr>
          <w:rFonts w:hint="default" w:ascii="Times New Roman" w:hAnsi="Times New Roman" w:eastAsia="仿宋_GB2312" w:cs="Times New Roman"/>
          <w:b w:val="0"/>
          <w:bCs/>
          <w:snapToGrid/>
          <w:color w:val="000000"/>
          <w:kern w:val="2"/>
          <w:sz w:val="32"/>
          <w:szCs w:val="32"/>
        </w:rPr>
        <w:t>建设单位应对工程建设的全过程实施管理，负责建 设工程标</w:t>
      </w:r>
      <w:r>
        <w:rPr>
          <w:rFonts w:hint="eastAsia" w:ascii="Times New Roman" w:hAnsi="Times New Roman" w:eastAsia="仿宋_GB2312" w:cs="Times New Roman"/>
          <w:b w:val="0"/>
          <w:bCs/>
          <w:snapToGrid/>
          <w:color w:val="000000"/>
          <w:kern w:val="2"/>
          <w:sz w:val="32"/>
          <w:szCs w:val="32"/>
          <w:lang w:eastAsia="zh-CN"/>
        </w:rPr>
        <w:t>后</w:t>
      </w:r>
      <w:r>
        <w:rPr>
          <w:rFonts w:hint="default" w:ascii="Times New Roman" w:hAnsi="Times New Roman" w:eastAsia="仿宋_GB2312" w:cs="Times New Roman"/>
          <w:b w:val="0"/>
          <w:bCs/>
          <w:snapToGrid/>
          <w:color w:val="000000"/>
          <w:kern w:val="2"/>
          <w:sz w:val="32"/>
          <w:szCs w:val="32"/>
        </w:rPr>
        <w:t>对施工、监理等单位履行合同等情况的日常管理，建立检查台帐：</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一</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进场核查和现场考勤。要求监理、施工单位进场前分别提交项目管理机构人员组成名单、关键岗位人员名单，同时提交岗位安排、注册执业资格、人员劳动关系证明和缴纳社会保险的有效证明，核查是否与合同中明确的人员一致；督促施工管理人员、监理人员认真履行职责，并对其进行考勤，项目经理</w:t>
      </w:r>
      <w:r>
        <w:rPr>
          <w:rFonts w:hint="eastAsia"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负责人</w:t>
      </w:r>
      <w:r>
        <w:rPr>
          <w:rFonts w:hint="eastAsia"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每月带班少于本月施工时间80%的、总监少</w:t>
      </w:r>
      <w:r>
        <w:rPr>
          <w:rFonts w:hint="eastAsia" w:ascii="Times New Roman" w:hAnsi="Times New Roman" w:eastAsia="仿宋_GB2312" w:cs="Times New Roman"/>
          <w:b w:val="0"/>
          <w:bCs/>
          <w:snapToGrid/>
          <w:color w:val="000000"/>
          <w:kern w:val="2"/>
          <w:sz w:val="32"/>
          <w:szCs w:val="32"/>
          <w:lang w:eastAsia="zh-CN"/>
        </w:rPr>
        <w:t>于</w:t>
      </w:r>
      <w:r>
        <w:rPr>
          <w:rFonts w:hint="default" w:ascii="Times New Roman" w:hAnsi="Times New Roman" w:eastAsia="仿宋_GB2312" w:cs="Times New Roman"/>
          <w:b w:val="0"/>
          <w:bCs/>
          <w:snapToGrid/>
          <w:color w:val="000000"/>
          <w:kern w:val="2"/>
          <w:sz w:val="32"/>
          <w:szCs w:val="32"/>
        </w:rPr>
        <w:t>50%的，列入重点监管对象、并主动报告行业行政主管部门，认真核查其转包和违法分包行为。</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rPr>
        <w:t>承包人存在下列情形之一的视为转包：</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1</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将其承包</w:t>
      </w:r>
      <w:r>
        <w:rPr>
          <w:rFonts w:hint="default" w:ascii="Times New Roman" w:hAnsi="Times New Roman" w:eastAsia="仿宋_GB2312" w:cs="Times New Roman"/>
          <w:b w:val="0"/>
          <w:bCs/>
          <w:snapToGrid/>
          <w:color w:val="000000"/>
          <w:kern w:val="2"/>
          <w:sz w:val="32"/>
          <w:szCs w:val="32"/>
          <w:lang w:eastAsia="zh-CN"/>
        </w:rPr>
        <w:t>的</w:t>
      </w:r>
      <w:r>
        <w:rPr>
          <w:rFonts w:hint="default" w:ascii="Times New Roman" w:hAnsi="Times New Roman" w:eastAsia="仿宋_GB2312" w:cs="Times New Roman"/>
          <w:b w:val="0"/>
          <w:bCs/>
          <w:snapToGrid/>
          <w:color w:val="000000"/>
          <w:kern w:val="2"/>
          <w:sz w:val="32"/>
          <w:szCs w:val="32"/>
        </w:rPr>
        <w:t>全部建设工程转给他人的；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2</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将其承包的全部建设工程以分包名义分别转给他人的；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lang w:eastAsia="zh-CN"/>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3</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施工现场所设项目管理机构的主要施工管理人员不是本单位人员的；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4</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将工程分包后，未在施工现场设立项目管理机构和派驻相应人员，未对该工程的施工活动进行组织管理的；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5</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施工总承包单位与施工总承包范围内分包工程的发包单位是两个独立法人单位的；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6</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主体工程使用的主要建筑材料或设备由分包单位购买或租赁的；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7</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法律法规规定的其他情形。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rPr>
        <w:t>承包人存在下列情形之一的视为违法分包：</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1</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将建设工程分包给不具备相应资质条件的单位或个人的；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2</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承包合同中没有约定，又未经建设单位书面认可，承包单位将其承包的部分建设工程交由其他单位完成的；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3</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劳务企业将承包的劳务作业再分包的；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lang w:val="en-US" w:eastAsia="zh-CN"/>
        </w:rPr>
        <w:t>4</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法律法规规定的其他情形。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（二）</w:t>
      </w:r>
      <w:r>
        <w:rPr>
          <w:rFonts w:hint="default" w:ascii="Times New Roman" w:hAnsi="Times New Roman" w:eastAsia="仿宋_GB2312" w:cs="Times New Roman"/>
          <w:b w:val="0"/>
          <w:bCs/>
          <w:snapToGrid/>
          <w:color w:val="000000"/>
          <w:kern w:val="2"/>
          <w:sz w:val="32"/>
          <w:szCs w:val="32"/>
        </w:rPr>
        <w:t>检查施工单位主要施工机械设备是否按投标文件、合同规定及工程进度需要及时到位，是否制定科学、合理的月、周工程进度计划并予以落实。</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（三）</w:t>
      </w:r>
      <w:r>
        <w:rPr>
          <w:rFonts w:hint="default" w:ascii="Times New Roman" w:hAnsi="Times New Roman" w:eastAsia="仿宋_GB2312" w:cs="Times New Roman"/>
          <w:b w:val="0"/>
          <w:bCs/>
          <w:snapToGrid/>
          <w:color w:val="000000"/>
          <w:kern w:val="2"/>
          <w:sz w:val="32"/>
          <w:szCs w:val="32"/>
        </w:rPr>
        <w:t>督促监理单位对关键工序、关键部位、隐蔽工程和薄弱环节进行重点监控，对进入现场的材料、构配件和设备进行核查验收，对施工单位报送的工程进度计划和完成工程量进行认真仔细审核。</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（四）</w:t>
      </w:r>
      <w:r>
        <w:rPr>
          <w:rFonts w:hint="default" w:ascii="Times New Roman" w:hAnsi="Times New Roman" w:eastAsia="仿宋_GB2312" w:cs="Times New Roman"/>
          <w:b w:val="0"/>
          <w:bCs/>
          <w:snapToGrid/>
          <w:color w:val="000000"/>
          <w:kern w:val="2"/>
          <w:sz w:val="32"/>
          <w:szCs w:val="32"/>
        </w:rPr>
        <w:t>检查监理日记、监理例会记录、监理月报及其它监理材料的完整性，以及其它工程施工、监理合同条款的履行情况。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（五）</w:t>
      </w:r>
      <w:r>
        <w:rPr>
          <w:rFonts w:hint="default" w:ascii="Times New Roman" w:hAnsi="Times New Roman" w:eastAsia="仿宋_GB2312" w:cs="Times New Roman"/>
          <w:b w:val="0"/>
          <w:bCs/>
          <w:snapToGrid/>
          <w:color w:val="000000"/>
          <w:kern w:val="2"/>
          <w:sz w:val="32"/>
          <w:szCs w:val="32"/>
        </w:rPr>
        <w:t>对施工、监理单位人员违规更换、脱离岗位或不认真履行职责等行为，按照招投标文件、合同有关条款及时提出整改意见，并将发现的情况及时以书面形式报告行政主管部门。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color w:val="000000"/>
          <w:kern w:val="2"/>
          <w:sz w:val="32"/>
          <w:szCs w:val="32"/>
        </w:rPr>
        <w:t>第九条</w:t>
      </w:r>
      <w:r>
        <w:rPr>
          <w:rFonts w:hint="eastAsia" w:ascii="Times New Roman" w:hAnsi="Times New Roman" w:eastAsia="黑体" w:cs="Times New Roman"/>
          <w:b w:val="0"/>
          <w:bCs/>
          <w:snapToGrid/>
          <w:color w:val="000000"/>
          <w:kern w:val="2"/>
          <w:sz w:val="32"/>
          <w:szCs w:val="32"/>
          <w:lang w:val="en-US" w:eastAsia="zh-CN"/>
        </w:rPr>
        <w:t xml:space="preserve"> </w:t>
      </w:r>
      <w:r>
        <w:rPr>
          <w:rFonts w:hint="default" w:ascii="Times New Roman" w:hAnsi="Times New Roman" w:eastAsia="仿宋_GB2312" w:cs="Times New Roman"/>
          <w:b w:val="0"/>
          <w:bCs/>
          <w:snapToGrid/>
          <w:color w:val="000000"/>
          <w:kern w:val="2"/>
          <w:sz w:val="32"/>
          <w:szCs w:val="32"/>
        </w:rPr>
        <w:t>区城建、交运、水务等行政主管部门应当切实加强工程项目标后的监督检查，检查的主要内容有：建设单位的主体责任履行情况；施工、监理单位的项目部人员到岗及履职情况；工程分包及主要施工机械设备到位情况；工程质量、安全情况；农民工工资发放等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仿宋_GB2312" w:cs="Times New Roman"/>
          <w:b w:val="0"/>
          <w:bCs/>
          <w:snapToGrid/>
          <w:color w:val="000000"/>
          <w:kern w:val="2"/>
          <w:sz w:val="32"/>
          <w:szCs w:val="32"/>
        </w:rPr>
        <w:t>在标后监督管理中发现施工、监理单位有下列行为之一的， 除依照有关法律、法规规定进行处罚外，应将其不良行为记入企业信用档案，并视情节作出相应的惩戒措施：</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（一）</w:t>
      </w:r>
      <w:r>
        <w:rPr>
          <w:rFonts w:hint="default" w:ascii="Times New Roman" w:hAnsi="Times New Roman" w:eastAsia="仿宋_GB2312" w:cs="Times New Roman"/>
          <w:b w:val="0"/>
          <w:bCs/>
          <w:snapToGrid/>
          <w:color w:val="000000"/>
          <w:kern w:val="2"/>
          <w:sz w:val="32"/>
          <w:szCs w:val="32"/>
        </w:rPr>
        <w:t>施工单位有转包、违法分包行为的；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（二）</w:t>
      </w:r>
      <w:r>
        <w:rPr>
          <w:rFonts w:hint="default" w:ascii="Times New Roman" w:hAnsi="Times New Roman" w:eastAsia="仿宋_GB2312" w:cs="Times New Roman"/>
          <w:b w:val="0"/>
          <w:bCs/>
          <w:snapToGrid/>
          <w:color w:val="000000"/>
          <w:kern w:val="2"/>
          <w:sz w:val="32"/>
          <w:szCs w:val="32"/>
        </w:rPr>
        <w:t>现场施工管理人员、监理人员与中标承诺不一致且未按规定办理变更手续的；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（三）</w:t>
      </w:r>
      <w:r>
        <w:rPr>
          <w:rFonts w:hint="default" w:ascii="Times New Roman" w:hAnsi="Times New Roman" w:eastAsia="仿宋_GB2312" w:cs="Times New Roman"/>
          <w:b w:val="0"/>
          <w:bCs/>
          <w:snapToGrid/>
          <w:color w:val="000000"/>
          <w:kern w:val="2"/>
          <w:sz w:val="32"/>
          <w:szCs w:val="32"/>
        </w:rPr>
        <w:t>投标文件承诺的大型机械设备没有进入施工现场的；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（四）</w:t>
      </w:r>
      <w:r>
        <w:rPr>
          <w:rFonts w:hint="default" w:ascii="Times New Roman" w:hAnsi="Times New Roman" w:eastAsia="仿宋_GB2312" w:cs="Times New Roman"/>
          <w:b w:val="0"/>
          <w:bCs/>
          <w:snapToGrid/>
          <w:color w:val="000000"/>
          <w:kern w:val="2"/>
          <w:sz w:val="32"/>
          <w:szCs w:val="32"/>
        </w:rPr>
        <w:t>施工、监理单位串通，签认虚假工程量或工程造价的；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（五）</w:t>
      </w:r>
      <w:r>
        <w:rPr>
          <w:rFonts w:hint="default" w:ascii="Times New Roman" w:hAnsi="Times New Roman" w:eastAsia="仿宋_GB2312" w:cs="Times New Roman"/>
          <w:b w:val="0"/>
          <w:bCs/>
          <w:snapToGrid/>
          <w:color w:val="000000"/>
          <w:kern w:val="2"/>
          <w:sz w:val="32"/>
          <w:szCs w:val="32"/>
        </w:rPr>
        <w:t>现场管理混乱，不配合检查，不能及时出示相关现场管理资料的；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（六）</w:t>
      </w:r>
      <w:r>
        <w:rPr>
          <w:rFonts w:hint="default" w:ascii="Times New Roman" w:hAnsi="Times New Roman" w:eastAsia="仿宋_GB2312" w:cs="Times New Roman"/>
          <w:b w:val="0"/>
          <w:bCs/>
          <w:snapToGrid/>
          <w:color w:val="000000"/>
          <w:kern w:val="2"/>
          <w:sz w:val="32"/>
          <w:szCs w:val="32"/>
        </w:rPr>
        <w:t>其它违反法律、法规及规定的。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default" w:ascii="Times New Roman" w:hAnsi="Times New Roman" w:eastAsia="黑体" w:cs="Times New Roman"/>
          <w:b w:val="0"/>
          <w:bCs/>
          <w:snapToGrid/>
          <w:color w:val="000000"/>
          <w:kern w:val="2"/>
          <w:sz w:val="32"/>
          <w:szCs w:val="32"/>
        </w:rPr>
        <w:t>第十条</w:t>
      </w:r>
      <w:r>
        <w:rPr>
          <w:rFonts w:hint="default" w:ascii="Times New Roman" w:hAnsi="Times New Roman" w:eastAsia="仿宋_GB2312" w:cs="Times New Roman"/>
          <w:b w:val="0"/>
          <w:bCs/>
          <w:sz w:val="32"/>
          <w:szCs w:val="32"/>
        </w:rPr>
        <w:t> </w:t>
      </w:r>
      <w:r>
        <w:rPr>
          <w:rFonts w:hint="default" w:ascii="Times New Roman" w:hAnsi="Times New Roman" w:eastAsia="仿宋_GB2312" w:cs="Times New Roman"/>
          <w:b w:val="0"/>
          <w:bCs/>
          <w:snapToGrid/>
          <w:color w:val="000000"/>
          <w:kern w:val="2"/>
          <w:sz w:val="32"/>
          <w:szCs w:val="32"/>
        </w:rPr>
        <w:t>建设工程项目实行违约清场制度。建设单位在招标文件和施工、委托监理合同中应明确施工、监理单位有下列情形之一拒不整改或整改后仍不符合要求的，建设单位可以解除合同，责令其限期清场，及时办理已完工程质量验收和工程价款清算，并按合同约定追究相应责任，同时告知行业行政主管部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（一）</w:t>
      </w:r>
      <w:r>
        <w:rPr>
          <w:rFonts w:hint="default" w:ascii="Times New Roman" w:hAnsi="Times New Roman" w:eastAsia="仿宋_GB2312" w:cs="Times New Roman"/>
          <w:b w:val="0"/>
          <w:bCs/>
          <w:snapToGrid/>
          <w:color w:val="000000"/>
          <w:kern w:val="2"/>
          <w:sz w:val="32"/>
          <w:szCs w:val="32"/>
        </w:rPr>
        <w:t>施工、监理单位发生挂靠、转包、违法分包的；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（二）</w:t>
      </w:r>
      <w:r>
        <w:rPr>
          <w:rFonts w:hint="default" w:ascii="Times New Roman" w:hAnsi="Times New Roman" w:eastAsia="仿宋_GB2312" w:cs="Times New Roman"/>
          <w:b w:val="0"/>
          <w:bCs/>
          <w:snapToGrid/>
          <w:color w:val="000000"/>
          <w:kern w:val="2"/>
          <w:sz w:val="32"/>
          <w:szCs w:val="32"/>
        </w:rPr>
        <w:t>由于施工单位原因造成计划工期进度延误3个月的；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（三）</w:t>
      </w:r>
      <w:r>
        <w:rPr>
          <w:rFonts w:hint="default" w:ascii="Times New Roman" w:hAnsi="Times New Roman" w:eastAsia="仿宋_GB2312" w:cs="Times New Roman"/>
          <w:b w:val="0"/>
          <w:bCs/>
          <w:snapToGrid/>
          <w:color w:val="000000"/>
          <w:kern w:val="2"/>
          <w:sz w:val="32"/>
          <w:szCs w:val="32"/>
        </w:rPr>
        <w:t>施工、监理单位拒不履行投标承诺及合同主要义务，导致不能实现合同目的的；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（四）</w:t>
      </w:r>
      <w:r>
        <w:rPr>
          <w:rFonts w:hint="default" w:ascii="Times New Roman" w:hAnsi="Times New Roman" w:eastAsia="仿宋_GB2312" w:cs="Times New Roman"/>
          <w:b w:val="0"/>
          <w:bCs/>
          <w:snapToGrid/>
          <w:color w:val="000000"/>
          <w:kern w:val="2"/>
          <w:sz w:val="32"/>
          <w:szCs w:val="32"/>
        </w:rPr>
        <w:t>非建设单位原因，施工单位连续两个月以上不按规定发放工人工资的；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（五）</w:t>
      </w:r>
      <w:r>
        <w:rPr>
          <w:rFonts w:hint="default" w:ascii="Times New Roman" w:hAnsi="Times New Roman" w:eastAsia="仿宋_GB2312" w:cs="Times New Roman"/>
          <w:b w:val="0"/>
          <w:bCs/>
          <w:snapToGrid/>
          <w:color w:val="000000"/>
          <w:kern w:val="2"/>
          <w:sz w:val="32"/>
          <w:szCs w:val="32"/>
        </w:rPr>
        <w:t>已经完成的分部分项工程质量验收不合格拒不返工或多次返工后仍不合格的；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_GB2312" w:cs="Times New Roman"/>
          <w:b w:val="0"/>
          <w:bCs/>
          <w:snapToGrid/>
          <w:color w:val="000000"/>
          <w:kern w:val="2"/>
          <w:sz w:val="32"/>
          <w:szCs w:val="32"/>
        </w:rPr>
      </w:pPr>
      <w:r>
        <w:rPr>
          <w:rFonts w:hint="eastAsia" w:ascii="Times New Roman" w:hAnsi="Times New Roman" w:eastAsia="仿宋_GB2312" w:cs="Times New Roman"/>
          <w:b w:val="0"/>
          <w:bCs/>
          <w:snapToGrid/>
          <w:color w:val="000000"/>
          <w:kern w:val="2"/>
          <w:sz w:val="32"/>
          <w:szCs w:val="32"/>
          <w:lang w:eastAsia="zh-CN"/>
        </w:rPr>
        <w:t>（六）</w:t>
      </w:r>
      <w:r>
        <w:rPr>
          <w:rFonts w:hint="default" w:ascii="Times New Roman" w:hAnsi="Times New Roman" w:eastAsia="仿宋_GB2312" w:cs="Times New Roman"/>
          <w:b w:val="0"/>
          <w:bCs/>
          <w:snapToGrid/>
          <w:color w:val="000000"/>
          <w:kern w:val="2"/>
          <w:sz w:val="32"/>
          <w:szCs w:val="32"/>
        </w:rPr>
        <w:t>对重大事故隐患不按规定及时消除的，或者被检查出事故隐患不及时整改到位的；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cs="Times New Roman"/>
          <w:b w:val="0"/>
          <w:bCs/>
          <w:spacing w:val="37"/>
          <w:sz w:val="32"/>
          <w:szCs w:val="32"/>
        </w:rPr>
      </w:pPr>
      <w:r>
        <w:rPr>
          <w:rFonts w:hint="eastAsia" w:ascii="Times New Roman" w:hAnsi="Times New Roman" w:eastAsia="仿宋_GB2312" w:cs="Times New Roman"/>
          <w:b w:val="0"/>
          <w:bCs/>
          <w:snapToGrid/>
          <w:color w:val="000000"/>
          <w:kern w:val="2"/>
          <w:sz w:val="32"/>
          <w:szCs w:val="32"/>
          <w:lang w:eastAsia="zh-CN"/>
        </w:rPr>
        <w:t>（七）</w:t>
      </w:r>
      <w:r>
        <w:rPr>
          <w:rFonts w:hint="default" w:ascii="Times New Roman" w:hAnsi="Times New Roman" w:eastAsia="仿宋_GB2312" w:cs="Times New Roman"/>
          <w:b w:val="0"/>
          <w:bCs/>
          <w:snapToGrid/>
          <w:color w:val="000000"/>
          <w:kern w:val="2"/>
          <w:sz w:val="32"/>
          <w:szCs w:val="32"/>
        </w:rPr>
        <w:t>其他严重违法违规行为需要清场的。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center"/>
        <w:textAlignment w:val="auto"/>
        <w:rPr>
          <w:rFonts w:hint="default" w:ascii="Times New Roman" w:hAnsi="Times New Roman" w:eastAsia="黑体" w:cs="Times New Roman"/>
          <w:b w:val="0"/>
          <w:bCs/>
          <w:snapToGrid/>
          <w:kern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center"/>
        <w:textAlignment w:val="auto"/>
        <w:rPr>
          <w:rFonts w:hint="default" w:ascii="Times New Roman" w:hAnsi="Times New Roman" w:cs="Times New Roman"/>
          <w:b w:val="0"/>
          <w:bCs/>
          <w:spacing w:val="37"/>
          <w:sz w:val="32"/>
          <w:szCs w:val="32"/>
        </w:rPr>
      </w:pPr>
      <w:r>
        <w:rPr>
          <w:rFonts w:hint="default" w:ascii="Times New Roman" w:hAnsi="Times New Roman" w:eastAsia="黑体" w:cs="Times New Roman"/>
          <w:b w:val="0"/>
          <w:bCs/>
          <w:snapToGrid/>
          <w:kern w:val="2"/>
          <w:sz w:val="32"/>
          <w:szCs w:val="32"/>
        </w:rPr>
        <w:t>第三章</w:t>
      </w:r>
      <w:r>
        <w:rPr>
          <w:rFonts w:hint="default" w:ascii="Times New Roman" w:hAnsi="Times New Roman" w:eastAsia="黑体" w:cs="Times New Roman"/>
          <w:b w:val="0"/>
          <w:bCs/>
          <w:snapToGrid/>
          <w:kern w:val="2"/>
          <w:sz w:val="32"/>
          <w:szCs w:val="32"/>
          <w:shd w:val="clear" w:color="FFFFFF" w:fill="D9D9D9"/>
          <w:lang w:val="en-US" w:eastAsia="zh-CN"/>
        </w:rPr>
        <w:t xml:space="preserve"> </w:t>
      </w:r>
      <w:r>
        <w:rPr>
          <w:rFonts w:hint="default" w:ascii="Times New Roman" w:hAnsi="Times New Roman" w:eastAsia="黑体" w:cs="Times New Roman"/>
          <w:b w:val="0"/>
          <w:bCs/>
          <w:snapToGrid/>
          <w:color w:val="auto"/>
          <w:kern w:val="2"/>
          <w:sz w:val="32"/>
          <w:szCs w:val="32"/>
          <w:highlight w:val="none"/>
          <w:shd w:val="clear" w:color="FFFFFF" w:fill="D9D9D9"/>
        </w:rPr>
        <w:t>工程</w:t>
      </w:r>
      <w:r>
        <w:rPr>
          <w:rFonts w:hint="default" w:ascii="Times New Roman" w:hAnsi="Times New Roman" w:eastAsia="黑体" w:cs="Times New Roman"/>
          <w:b w:val="0"/>
          <w:bCs/>
          <w:snapToGrid/>
          <w:kern w:val="2"/>
          <w:sz w:val="32"/>
          <w:szCs w:val="32"/>
        </w:rPr>
        <w:t>变更和资金管理</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37"/>
          <w:kern w:val="21"/>
          <w:sz w:val="32"/>
          <w:szCs w:val="32"/>
        </w:rPr>
      </w:pPr>
      <w:r>
        <w:rPr>
          <w:rFonts w:hint="eastAsia" w:ascii="Times New Roman" w:hAnsi="Times New Roman" w:eastAsia="黑体" w:cs="Times New Roman"/>
          <w:b w:val="0"/>
          <w:bCs/>
          <w:spacing w:val="0"/>
          <w:sz w:val="32"/>
          <w:szCs w:val="32"/>
          <w:lang w:eastAsia="zh-CN"/>
        </w:rPr>
        <w:t>第十</w:t>
      </w:r>
      <w:r>
        <w:rPr>
          <w:rFonts w:hint="default" w:ascii="Times New Roman" w:hAnsi="Times New Roman" w:eastAsia="黑体" w:cs="Times New Roman"/>
          <w:b w:val="0"/>
          <w:bCs/>
          <w:spacing w:val="0"/>
          <w:sz w:val="32"/>
          <w:szCs w:val="32"/>
        </w:rPr>
        <w:t>一条</w:t>
      </w:r>
      <w:r>
        <w:rPr>
          <w:rFonts w:hint="default" w:ascii="Times New Roman" w:hAnsi="Times New Roman" w:eastAsia="仿宋_GB2312" w:cs="Times New Roman"/>
          <w:b w:val="0"/>
          <w:bCs/>
          <w:sz w:val="32"/>
          <w:szCs w:val="32"/>
        </w:rPr>
        <w:t> </w:t>
      </w:r>
      <w:r>
        <w:rPr>
          <w:rFonts w:hint="default" w:ascii="Times New Roman" w:hAnsi="Times New Roman" w:eastAsia="仿宋_GB2312" w:cs="Times New Roman"/>
          <w:b w:val="0"/>
          <w:bCs/>
          <w:snapToGrid/>
          <w:color w:val="000000"/>
          <w:kern w:val="2"/>
          <w:sz w:val="32"/>
          <w:szCs w:val="32"/>
        </w:rPr>
        <w:t>建设工程项目如无不可抗拒因素不得变更，如需变更须履行相关程序，且实行行政一把手终身负责制。建设单位对工程变更事项的真实性和合理性负责。工程施工招标前</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应仔细审阅地勘报告、施工图、踏勘现场、测算潜在性或辅助性工程，使招标内容最大限度地符合实际施工要求</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在工程变更提出后，应及时组织勘察、设计、施工、监理、造价咨询等单位对变更意见进行内部审核，必要时应组织有关专家对变更事项进行论证</w:t>
      </w:r>
      <w:r>
        <w:rPr>
          <w:rFonts w:hint="default" w:ascii="Times New Roman" w:hAnsi="Times New Roman" w:eastAsia="仿宋_GB2312" w:cs="Times New Roman"/>
          <w:b w:val="0"/>
          <w:bCs/>
          <w:snapToGrid/>
          <w:color w:val="000000"/>
          <w:kern w:val="2"/>
          <w:sz w:val="32"/>
          <w:szCs w:val="32"/>
          <w:lang w:eastAsia="zh-CN"/>
        </w:rPr>
        <w:t>，</w:t>
      </w:r>
      <w:r>
        <w:rPr>
          <w:rFonts w:hint="default" w:ascii="Times New Roman" w:hAnsi="Times New Roman" w:eastAsia="仿宋_GB2312" w:cs="Times New Roman"/>
          <w:b w:val="0"/>
          <w:bCs/>
          <w:snapToGrid/>
          <w:color w:val="000000"/>
          <w:kern w:val="2"/>
          <w:sz w:val="32"/>
          <w:szCs w:val="32"/>
        </w:rPr>
        <w:t>明确变更责任，提出分类处置意见。经充分核实后认为确有必要的，如实填写《国有投资项目变更方案</w:t>
      </w:r>
      <w:r>
        <w:rPr>
          <w:rFonts w:hint="default" w:ascii="Times New Roman" w:hAnsi="Times New Roman" w:eastAsia="仿宋_GB2312" w:cs="Times New Roman"/>
          <w:b w:val="0"/>
          <w:bCs/>
          <w:snapToGrid/>
          <w:color w:val="000000"/>
          <w:kern w:val="21"/>
          <w:sz w:val="32"/>
          <w:szCs w:val="32"/>
        </w:rPr>
        <w:t>报告》</w:t>
      </w:r>
      <w:r>
        <w:rPr>
          <w:rFonts w:hint="eastAsia" w:ascii="Times New Roman" w:hAnsi="Times New Roman" w:eastAsia="仿宋_GB2312" w:cs="Times New Roman"/>
          <w:b w:val="0"/>
          <w:bCs/>
          <w:snapToGrid/>
          <w:color w:val="000000"/>
          <w:kern w:val="21"/>
          <w:sz w:val="32"/>
          <w:szCs w:val="32"/>
          <w:lang w:eastAsia="zh-CN"/>
        </w:rPr>
        <w:t>（附件）</w:t>
      </w:r>
      <w:r>
        <w:rPr>
          <w:rFonts w:hint="default" w:ascii="Times New Roman" w:hAnsi="Times New Roman" w:eastAsia="仿宋_GB2312" w:cs="Times New Roman"/>
          <w:b w:val="0"/>
          <w:bCs/>
          <w:snapToGrid/>
          <w:color w:val="000000"/>
          <w:kern w:val="21"/>
          <w:sz w:val="32"/>
          <w:szCs w:val="32"/>
        </w:rPr>
        <w:t>,经建设单位法定代表人签字盖章后报</w:t>
      </w:r>
      <w:r>
        <w:rPr>
          <w:rFonts w:hint="default" w:ascii="Times New Roman" w:hAnsi="Times New Roman" w:eastAsia="仿宋_GB2312" w:cs="Times New Roman"/>
          <w:b w:val="0"/>
          <w:bCs/>
          <w:snapToGrid/>
          <w:color w:val="auto"/>
          <w:kern w:val="21"/>
          <w:sz w:val="32"/>
          <w:szCs w:val="32"/>
          <w:highlight w:val="none"/>
          <w:shd w:val="clear" w:color="FFFFFF" w:fill="D9D9D9"/>
        </w:rPr>
        <w:t>区发改委</w:t>
      </w:r>
      <w:r>
        <w:rPr>
          <w:rFonts w:hint="default" w:ascii="Times New Roman" w:hAnsi="Times New Roman" w:eastAsia="仿宋_GB2312" w:cs="Times New Roman"/>
          <w:b w:val="0"/>
          <w:bCs/>
          <w:snapToGrid/>
          <w:color w:val="auto"/>
          <w:kern w:val="21"/>
          <w:sz w:val="32"/>
          <w:szCs w:val="32"/>
          <w:highlight w:val="none"/>
          <w:shd w:val="clear" w:color="FFFFFF" w:fill="D9D9D9"/>
          <w:lang w:val="en-US" w:eastAsia="zh-CN"/>
        </w:rPr>
        <w:t>或国资和</w:t>
      </w:r>
      <w:r>
        <w:rPr>
          <w:rFonts w:hint="default" w:ascii="Times New Roman" w:hAnsi="Times New Roman" w:eastAsia="仿宋_GB2312" w:cs="Times New Roman"/>
          <w:b w:val="0"/>
          <w:bCs/>
          <w:snapToGrid/>
          <w:color w:val="auto"/>
          <w:kern w:val="21"/>
          <w:sz w:val="32"/>
          <w:szCs w:val="32"/>
          <w:highlight w:val="none"/>
          <w:shd w:val="clear" w:color="FFFFFF" w:fill="D9D9D9"/>
        </w:rPr>
        <w:t>金融监管局</w:t>
      </w:r>
      <w:r>
        <w:rPr>
          <w:rFonts w:hint="default" w:ascii="Times New Roman" w:hAnsi="Times New Roman" w:eastAsia="仿宋_GB2312" w:cs="Times New Roman"/>
          <w:b w:val="0"/>
          <w:bCs/>
          <w:snapToGrid/>
          <w:color w:val="000000"/>
          <w:kern w:val="21"/>
          <w:sz w:val="32"/>
          <w:szCs w:val="32"/>
        </w:rPr>
        <w:t>按程序办理。</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napToGrid/>
          <w:color w:val="000000"/>
          <w:kern w:val="2"/>
          <w:sz w:val="32"/>
          <w:szCs w:val="32"/>
          <w:highlight w:val="none"/>
          <w:shd w:val="clear" w:color="FFFFFF" w:fill="D9D9D9"/>
        </w:rPr>
      </w:pPr>
      <w:r>
        <w:rPr>
          <w:rFonts w:hint="eastAsia" w:ascii="黑体" w:hAnsi="黑体" w:eastAsia="黑体" w:cs="黑体"/>
          <w:b w:val="0"/>
          <w:bCs/>
          <w:snapToGrid/>
          <w:color w:val="000000"/>
          <w:kern w:val="2"/>
          <w:sz w:val="32"/>
          <w:szCs w:val="32"/>
          <w:highlight w:val="none"/>
          <w:shd w:val="clear" w:color="FFFFFF" w:fill="D9D9D9"/>
        </w:rPr>
        <w:t>第十二条</w:t>
      </w:r>
      <w:r>
        <w:rPr>
          <w:rFonts w:hint="default" w:ascii="Times New Roman" w:hAnsi="Times New Roman" w:eastAsia="仿宋_GB2312" w:cs="Times New Roman"/>
          <w:b w:val="0"/>
          <w:bCs/>
          <w:snapToGrid/>
          <w:color w:val="000000"/>
          <w:kern w:val="2"/>
          <w:sz w:val="32"/>
          <w:szCs w:val="32"/>
          <w:highlight w:val="none"/>
          <w:shd w:val="clear" w:color="FFFFFF" w:fill="D9D9D9"/>
        </w:rPr>
        <w:t> </w:t>
      </w:r>
      <w:r>
        <w:rPr>
          <w:rFonts w:hint="eastAsia" w:ascii="Times New Roman" w:hAnsi="Times New Roman" w:eastAsia="仿宋_GB2312" w:cs="Times New Roman"/>
          <w:b w:val="0"/>
          <w:bCs/>
          <w:snapToGrid/>
          <w:color w:val="000000"/>
          <w:kern w:val="2"/>
          <w:sz w:val="32"/>
          <w:szCs w:val="32"/>
          <w:highlight w:val="none"/>
          <w:shd w:val="clear" w:color="FFFFFF" w:fill="D9D9D9"/>
          <w:lang w:val="en-US" w:eastAsia="zh-CN"/>
        </w:rPr>
        <w:t xml:space="preserve"> </w:t>
      </w:r>
      <w:r>
        <w:rPr>
          <w:rFonts w:hint="default" w:ascii="Times New Roman" w:hAnsi="Times New Roman" w:eastAsia="仿宋_GB2312" w:cs="Times New Roman"/>
          <w:b w:val="0"/>
          <w:bCs/>
          <w:snapToGrid/>
          <w:color w:val="000000"/>
          <w:kern w:val="2"/>
          <w:sz w:val="32"/>
          <w:szCs w:val="32"/>
          <w:highlight w:val="none"/>
          <w:shd w:val="clear" w:color="FFFFFF" w:fill="D9D9D9"/>
        </w:rPr>
        <w:t>本规定工程变更是指国有投资项目根据合同约定和法律法规文件规定在施工过程中因施工条件改变、建设单位要求、监理工程师指令或设计原因等使工程的任何部分与核定后的工程量清单比较发生工程价款的变动而产生的各种变更。包括建设规划、方案、标准、规模、内容、材料设备档次的调整，工程任何部分的基线、线型、标高、位置、尺寸的改变，不可预见、可预见发生但数量无法准确确定、不可抗力的发生，地质条件局部突变，外部环境变化约束，建设单位原因造成施工方案的变更，合同中的任何一项工作的取消、改变质量或其他特性，为完成工作需要追加的额外工作。不包括材料设备价格涨跌、人工工资调整、法律法规政策变化、控制价工程量清单漏项错量。</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napToGrid/>
          <w:color w:val="000000"/>
          <w:kern w:val="2"/>
          <w:sz w:val="32"/>
          <w:szCs w:val="32"/>
          <w:highlight w:val="yellow"/>
        </w:rPr>
      </w:pPr>
      <w:r>
        <w:rPr>
          <w:rFonts w:hint="default" w:ascii="Times New Roman" w:hAnsi="Times New Roman" w:eastAsia="仿宋_GB2312" w:cs="Times New Roman"/>
          <w:b w:val="0"/>
          <w:bCs/>
          <w:snapToGrid/>
          <w:color w:val="000000"/>
          <w:kern w:val="2"/>
          <w:sz w:val="32"/>
          <w:szCs w:val="32"/>
          <w:highlight w:val="none"/>
          <w:shd w:val="clear" w:color="FFFFFF" w:fill="D9D9D9"/>
        </w:rPr>
        <w:t>本规定单项工程变更是指一个变更事项导致相应各个专业变更，在计量计价上不仅仅指一个清单项目或一个分部分项工程，该项变更额按增加部分和减少部分加减累计计算。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37"/>
          <w:sz w:val="32"/>
          <w:szCs w:val="32"/>
        </w:rPr>
      </w:pPr>
      <w:r>
        <w:rPr>
          <w:rFonts w:hint="default" w:ascii="Times New Roman" w:hAnsi="Times New Roman" w:eastAsia="黑体" w:cs="Times New Roman"/>
          <w:b w:val="0"/>
          <w:bCs/>
          <w:snapToGrid/>
          <w:color w:val="000000"/>
          <w:kern w:val="2"/>
          <w:sz w:val="32"/>
          <w:szCs w:val="32"/>
          <w:highlight w:val="none"/>
          <w:shd w:val="clear" w:color="FFFFFF" w:fill="D9D9D9"/>
        </w:rPr>
        <w:t>第十三</w:t>
      </w:r>
      <w:r>
        <w:rPr>
          <w:rFonts w:hint="default" w:ascii="Times New Roman" w:hAnsi="Times New Roman" w:eastAsia="黑体" w:cs="Times New Roman"/>
          <w:b w:val="0"/>
          <w:bCs/>
          <w:snapToGrid/>
          <w:color w:val="000000"/>
          <w:kern w:val="2"/>
          <w:sz w:val="32"/>
          <w:szCs w:val="32"/>
          <w:highlight w:val="none"/>
          <w:shd w:val="clear" w:color="FFFFFF" w:fill="D9D9D9"/>
          <w:lang w:val="en-US" w:eastAsia="zh-CN"/>
        </w:rPr>
        <w:t>条</w:t>
      </w:r>
      <w:r>
        <w:rPr>
          <w:rFonts w:hint="default" w:ascii="Times New Roman" w:hAnsi="Times New Roman" w:eastAsia="仿宋_GB2312" w:cs="Times New Roman"/>
          <w:b w:val="0"/>
          <w:bCs/>
          <w:kern w:val="21"/>
          <w:sz w:val="32"/>
          <w:szCs w:val="32"/>
          <w:highlight w:val="none"/>
          <w:shd w:val="clear" w:color="FFFFFF" w:fill="D9D9D9"/>
        </w:rPr>
        <w:t> </w:t>
      </w:r>
      <w:r>
        <w:rPr>
          <w:rFonts w:hint="default" w:ascii="Times New Roman" w:hAnsi="Times New Roman" w:eastAsia="仿宋_GB2312" w:cs="Times New Roman"/>
          <w:b w:val="0"/>
          <w:bCs/>
          <w:snapToGrid/>
          <w:color w:val="000000"/>
          <w:kern w:val="2"/>
          <w:sz w:val="32"/>
          <w:szCs w:val="32"/>
        </w:rPr>
        <w:t>因工程变更需增加合同约定以外的其他建设内容，增加部分达到法定招标条件、对本工程的进度质量或者功能配套要求不构成严重影响的，建设单位应单独组织招标。</w:t>
      </w:r>
    </w:p>
    <w:p>
      <w:pPr>
        <w:keepNext w:val="0"/>
        <w:keepLines w:val="0"/>
        <w:pageBreakBefore w:val="0"/>
        <w:wordWrap/>
        <w:overflowPunct/>
        <w:topLinePunct w:val="0"/>
        <w:bidi w:val="0"/>
        <w:spacing w:line="560" w:lineRule="exact"/>
        <w:ind w:left="0" w:right="0" w:firstLine="640" w:firstLineChars="200"/>
        <w:jc w:val="left"/>
        <w:rPr>
          <w:rFonts w:hint="default" w:ascii="Times New Roman" w:hAnsi="Times New Roman" w:eastAsia="仿宋_GB2312" w:cs="Times New Roman"/>
          <w:b w:val="0"/>
          <w:bCs/>
          <w:spacing w:val="37"/>
          <w:sz w:val="32"/>
          <w:szCs w:val="32"/>
        </w:rPr>
      </w:pPr>
      <w:r>
        <w:rPr>
          <w:rFonts w:hint="eastAsia" w:ascii="黑体" w:hAnsi="黑体" w:eastAsia="黑体" w:cs="黑体"/>
          <w:b w:val="0"/>
          <w:bCs/>
          <w:snapToGrid/>
          <w:color w:val="000000"/>
          <w:kern w:val="2"/>
          <w:sz w:val="32"/>
          <w:szCs w:val="32"/>
          <w:highlight w:val="none"/>
          <w:shd w:val="clear" w:color="FFFFFF" w:fill="D9D9D9"/>
        </w:rPr>
        <w:t>第十四条</w:t>
      </w:r>
      <w:r>
        <w:rPr>
          <w:rFonts w:hint="eastAsia" w:ascii="黑体" w:hAnsi="黑体" w:eastAsia="黑体" w:cs="黑体"/>
          <w:b w:val="0"/>
          <w:bCs/>
          <w:snapToGrid/>
          <w:color w:val="000000"/>
          <w:kern w:val="2"/>
          <w:sz w:val="32"/>
          <w:szCs w:val="32"/>
          <w:highlight w:val="none"/>
          <w:shd w:val="clear" w:color="FFFFFF" w:fill="D9D9D9"/>
          <w:lang w:val="en-US" w:eastAsia="zh-CN"/>
        </w:rPr>
        <w:t xml:space="preserve"> </w:t>
      </w:r>
      <w:r>
        <w:rPr>
          <w:rFonts w:hint="default" w:ascii="Times New Roman" w:hAnsi="Times New Roman" w:eastAsia="仿宋_GB2312" w:cs="Times New Roman"/>
          <w:b w:val="0"/>
          <w:bCs/>
          <w:snapToGrid/>
          <w:color w:val="000000"/>
          <w:kern w:val="2"/>
          <w:sz w:val="32"/>
          <w:szCs w:val="32"/>
          <w:highlight w:val="none"/>
          <w:shd w:val="clear" w:color="FFFFFF" w:fill="D9D9D9"/>
        </w:rPr>
        <w:t>工程变更应当遵循科学、合理、经济，符合需要、符合相应行业要求、符合标准和工程规范，先批准后实施，先设计后施工的原则。因工程变更需要依法履行行业主管部门手续的应先行办理。建设单位变更要应报尽报，不得化整为零、规避审批，不得弄虚作假，不得以能使用暂列金、暂估价为由不履行工程变更报批。施工单位擅自变更或因错误、技术力量和施工设备限制、能力限制不能履行合同约定协调工作、投标时不平衡报价、单纯追求经济效益等</w:t>
      </w:r>
      <w:r>
        <w:rPr>
          <w:rFonts w:hint="eastAsia" w:ascii="Times New Roman" w:hAnsi="Times New Roman" w:eastAsia="仿宋_GB2312" w:cs="Times New Roman"/>
          <w:b w:val="0"/>
          <w:bCs/>
          <w:snapToGrid/>
          <w:color w:val="000000"/>
          <w:kern w:val="2"/>
          <w:sz w:val="32"/>
          <w:szCs w:val="32"/>
          <w:highlight w:val="none"/>
          <w:shd w:val="clear" w:color="FFFFFF" w:fill="D9D9D9"/>
          <w:lang w:eastAsia="zh-CN"/>
        </w:rPr>
        <w:t>自</w:t>
      </w:r>
      <w:r>
        <w:rPr>
          <w:rFonts w:hint="default" w:ascii="Times New Roman" w:hAnsi="Times New Roman" w:eastAsia="仿宋_GB2312" w:cs="Times New Roman"/>
          <w:b w:val="0"/>
          <w:bCs/>
          <w:snapToGrid/>
          <w:color w:val="000000"/>
          <w:kern w:val="2"/>
          <w:sz w:val="32"/>
          <w:szCs w:val="32"/>
          <w:highlight w:val="none"/>
          <w:shd w:val="clear" w:color="FFFFFF" w:fill="D9D9D9"/>
        </w:rPr>
        <w:t>身原因要求的变更，责令其按原设计施工，发生的费用和因此导致的其他损失由其自行承担，延误的工期不予顺延。</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0070C0"/>
          <w:spacing w:val="0"/>
          <w:sz w:val="32"/>
          <w:szCs w:val="32"/>
          <w:highlight w:val="yellow"/>
        </w:rPr>
      </w:pPr>
      <w:r>
        <w:rPr>
          <w:rFonts w:hint="default" w:ascii="Times New Roman" w:hAnsi="Times New Roman" w:eastAsia="黑体" w:cs="Times New Roman"/>
          <w:b w:val="0"/>
          <w:bCs/>
          <w:color w:val="auto"/>
          <w:spacing w:val="0"/>
          <w:sz w:val="32"/>
          <w:szCs w:val="32"/>
          <w:highlight w:val="none"/>
          <w:shd w:val="clear" w:color="FFFFFF" w:fill="D9D9D9"/>
        </w:rPr>
        <w:t>第十五条</w:t>
      </w:r>
      <w:r>
        <w:rPr>
          <w:rFonts w:hint="default" w:ascii="Times New Roman" w:hAnsi="Times New Roman" w:eastAsia="仿宋_GB2312" w:cs="Times New Roman"/>
          <w:b w:val="0"/>
          <w:bCs/>
          <w:color w:val="auto"/>
          <w:spacing w:val="0"/>
          <w:sz w:val="32"/>
          <w:szCs w:val="32"/>
          <w:highlight w:val="none"/>
          <w:shd w:val="clear" w:color="FFFFFF" w:fill="D9D9D9"/>
        </w:rPr>
        <w:t> 较大以上工程变更建立联审会议制度，联审会议成员单位由区发改</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委</w:t>
      </w:r>
      <w:r>
        <w:rPr>
          <w:rFonts w:hint="default" w:ascii="Times New Roman" w:hAnsi="Times New Roman" w:eastAsia="仿宋_GB2312" w:cs="Times New Roman"/>
          <w:b w:val="0"/>
          <w:bCs/>
          <w:color w:val="auto"/>
          <w:spacing w:val="0"/>
          <w:sz w:val="32"/>
          <w:szCs w:val="32"/>
          <w:highlight w:val="none"/>
          <w:shd w:val="clear" w:color="FFFFFF" w:fill="D9D9D9"/>
        </w:rPr>
        <w:t>、国资</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和金融监管局</w:t>
      </w:r>
      <w:r>
        <w:rPr>
          <w:rFonts w:hint="default" w:ascii="Times New Roman" w:hAnsi="Times New Roman" w:eastAsia="仿宋_GB2312" w:cs="Times New Roman"/>
          <w:b w:val="0"/>
          <w:bCs/>
          <w:color w:val="auto"/>
          <w:spacing w:val="0"/>
          <w:sz w:val="32"/>
          <w:szCs w:val="32"/>
          <w:highlight w:val="none"/>
          <w:shd w:val="clear" w:color="FFFFFF" w:fill="D9D9D9"/>
        </w:rPr>
        <w:t>、财政</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局</w:t>
      </w:r>
      <w:r>
        <w:rPr>
          <w:rFonts w:hint="default" w:ascii="Times New Roman" w:hAnsi="Times New Roman" w:eastAsia="仿宋_GB2312" w:cs="Times New Roman"/>
          <w:b w:val="0"/>
          <w:bCs/>
          <w:color w:val="auto"/>
          <w:spacing w:val="0"/>
          <w:sz w:val="32"/>
          <w:szCs w:val="32"/>
          <w:highlight w:val="none"/>
          <w:shd w:val="clear" w:color="FFFFFF" w:fill="D9D9D9"/>
        </w:rPr>
        <w:t>、审计</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局</w:t>
      </w:r>
      <w:r>
        <w:rPr>
          <w:rFonts w:hint="default" w:ascii="Times New Roman" w:hAnsi="Times New Roman" w:eastAsia="仿宋_GB2312" w:cs="Times New Roman"/>
          <w:b w:val="0"/>
          <w:bCs/>
          <w:color w:val="auto"/>
          <w:spacing w:val="0"/>
          <w:sz w:val="32"/>
          <w:szCs w:val="32"/>
          <w:highlight w:val="none"/>
          <w:shd w:val="clear" w:color="FFFFFF" w:fill="D9D9D9"/>
        </w:rPr>
        <w:t>、城建</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局</w:t>
      </w:r>
      <w:r>
        <w:rPr>
          <w:rFonts w:hint="default" w:ascii="Times New Roman" w:hAnsi="Times New Roman" w:eastAsia="仿宋_GB2312" w:cs="Times New Roman"/>
          <w:b w:val="0"/>
          <w:bCs/>
          <w:color w:val="auto"/>
          <w:spacing w:val="0"/>
          <w:sz w:val="32"/>
          <w:szCs w:val="32"/>
          <w:highlight w:val="none"/>
          <w:shd w:val="clear" w:color="FFFFFF" w:fill="D9D9D9"/>
        </w:rPr>
        <w:t>、行政审批</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局</w:t>
      </w:r>
      <w:r>
        <w:rPr>
          <w:rFonts w:hint="default" w:ascii="Times New Roman" w:hAnsi="Times New Roman" w:eastAsia="仿宋_GB2312" w:cs="Times New Roman"/>
          <w:b w:val="0"/>
          <w:bCs/>
          <w:color w:val="auto"/>
          <w:spacing w:val="0"/>
          <w:sz w:val="32"/>
          <w:szCs w:val="32"/>
          <w:highlight w:val="none"/>
          <w:shd w:val="clear" w:color="FFFFFF" w:fill="D9D9D9"/>
        </w:rPr>
        <w:t>、专咨办、建设单位及相关单位组成，由区发改委或</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国资和</w:t>
      </w:r>
      <w:r>
        <w:rPr>
          <w:rFonts w:hint="default" w:ascii="Times New Roman" w:hAnsi="Times New Roman" w:eastAsia="仿宋_GB2312" w:cs="Times New Roman"/>
          <w:b w:val="0"/>
          <w:bCs/>
          <w:color w:val="auto"/>
          <w:spacing w:val="0"/>
          <w:sz w:val="32"/>
          <w:szCs w:val="32"/>
          <w:highlight w:val="none"/>
          <w:shd w:val="clear" w:color="FFFFFF" w:fill="D9D9D9"/>
        </w:rPr>
        <w:t>金融监管局按照职责分工牵头召集区级联审成员单位对变更方案进行审查，出具联审会议纪要。</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auto"/>
          <w:spacing w:val="0"/>
          <w:sz w:val="32"/>
          <w:szCs w:val="32"/>
          <w:highlight w:val="none"/>
          <w:shd w:val="clear" w:color="FFFFFF" w:fill="D9D9D9"/>
        </w:rPr>
      </w:pPr>
      <w:r>
        <w:rPr>
          <w:rFonts w:hint="default" w:ascii="Times New Roman" w:hAnsi="Times New Roman" w:eastAsia="黑体" w:cs="Times New Roman"/>
          <w:b w:val="0"/>
          <w:bCs/>
          <w:color w:val="auto"/>
          <w:spacing w:val="0"/>
          <w:sz w:val="32"/>
          <w:szCs w:val="32"/>
          <w:highlight w:val="none"/>
          <w:shd w:val="clear" w:color="FFFFFF" w:fill="D9D9D9"/>
        </w:rPr>
        <w:t>第十六条</w:t>
      </w:r>
      <w:r>
        <w:rPr>
          <w:rFonts w:hint="default" w:ascii="Times New Roman" w:hAnsi="Times New Roman" w:eastAsia="仿宋_GB2312" w:cs="Times New Roman"/>
          <w:b w:val="0"/>
          <w:bCs/>
          <w:color w:val="auto"/>
          <w:spacing w:val="0"/>
          <w:sz w:val="32"/>
          <w:szCs w:val="32"/>
          <w:highlight w:val="none"/>
          <w:shd w:val="clear" w:color="FFFFFF" w:fill="D9D9D9"/>
        </w:rPr>
        <w:t> 单项工程变更按照变更金额及批准程序，分为简单变更、一般变更、较大变更和重大变更，具体按以下标准执行并从严把关：</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（一）</w:t>
      </w:r>
      <w:r>
        <w:rPr>
          <w:rFonts w:hint="default" w:ascii="Times New Roman" w:hAnsi="Times New Roman" w:eastAsia="仿宋_GB2312" w:cs="Times New Roman"/>
          <w:b w:val="0"/>
          <w:bCs/>
          <w:color w:val="auto"/>
          <w:spacing w:val="0"/>
          <w:sz w:val="32"/>
          <w:szCs w:val="32"/>
          <w:highlight w:val="none"/>
          <w:shd w:val="clear" w:color="FFFFFF" w:fill="D9D9D9"/>
        </w:rPr>
        <w:t>简单变更标准为单项工程变更金额在50万元以下且在合同价5%以下</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（二）</w:t>
      </w:r>
      <w:r>
        <w:rPr>
          <w:rFonts w:hint="default" w:ascii="Times New Roman" w:hAnsi="Times New Roman" w:eastAsia="仿宋_GB2312" w:cs="Times New Roman"/>
          <w:b w:val="0"/>
          <w:bCs/>
          <w:color w:val="auto"/>
          <w:spacing w:val="0"/>
          <w:sz w:val="32"/>
          <w:szCs w:val="32"/>
          <w:highlight w:val="none"/>
          <w:shd w:val="clear" w:color="FFFFFF" w:fill="D9D9D9"/>
        </w:rPr>
        <w:t>一般变更标准为单项工程变更金额在50万元</w:t>
      </w:r>
      <w:r>
        <w:rPr>
          <w:rFonts w:hint="eastAsia" w:ascii="Times New Roman" w:hAnsi="Times New Roman" w:eastAsia="仿宋_GB2312" w:cs="Times New Roman"/>
          <w:b w:val="0"/>
          <w:bCs/>
          <w:color w:val="auto"/>
          <w:spacing w:val="0"/>
          <w:sz w:val="32"/>
          <w:szCs w:val="32"/>
          <w:highlight w:val="none"/>
          <w:shd w:val="clear" w:color="FFFFFF" w:fill="D9D9D9"/>
          <w:lang w:eastAsia="zh-CN"/>
        </w:rPr>
        <w:t>（含）</w:t>
      </w:r>
      <w:r>
        <w:rPr>
          <w:rFonts w:hint="default" w:ascii="Times New Roman" w:hAnsi="Times New Roman" w:eastAsia="仿宋_GB2312" w:cs="Times New Roman"/>
          <w:b w:val="0"/>
          <w:bCs/>
          <w:color w:val="auto"/>
          <w:spacing w:val="0"/>
          <w:sz w:val="32"/>
          <w:szCs w:val="32"/>
          <w:highlight w:val="none"/>
          <w:shd w:val="clear" w:color="FFFFFF" w:fill="D9D9D9"/>
        </w:rPr>
        <w:t>-200万元或者在合同价5%</w:t>
      </w:r>
      <w:r>
        <w:rPr>
          <w:rFonts w:hint="eastAsia" w:ascii="Times New Roman" w:hAnsi="Times New Roman" w:eastAsia="仿宋_GB2312" w:cs="Times New Roman"/>
          <w:b w:val="0"/>
          <w:bCs/>
          <w:color w:val="auto"/>
          <w:spacing w:val="0"/>
          <w:sz w:val="32"/>
          <w:szCs w:val="32"/>
          <w:highlight w:val="none"/>
          <w:shd w:val="clear" w:color="FFFFFF" w:fill="D9D9D9"/>
          <w:lang w:eastAsia="zh-CN"/>
        </w:rPr>
        <w:t>（含）</w:t>
      </w:r>
      <w:r>
        <w:rPr>
          <w:rFonts w:hint="default" w:ascii="Times New Roman" w:hAnsi="Times New Roman" w:eastAsia="仿宋_GB2312" w:cs="Times New Roman"/>
          <w:b w:val="0"/>
          <w:bCs/>
          <w:color w:val="auto"/>
          <w:spacing w:val="0"/>
          <w:sz w:val="32"/>
          <w:szCs w:val="32"/>
          <w:highlight w:val="none"/>
          <w:shd w:val="clear" w:color="FFFFFF" w:fill="D9D9D9"/>
        </w:rPr>
        <w:t>-10%之间</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（三）</w:t>
      </w:r>
      <w:r>
        <w:rPr>
          <w:rFonts w:hint="default" w:ascii="Times New Roman" w:hAnsi="Times New Roman" w:eastAsia="仿宋_GB2312" w:cs="Times New Roman"/>
          <w:b w:val="0"/>
          <w:bCs/>
          <w:color w:val="auto"/>
          <w:spacing w:val="0"/>
          <w:sz w:val="32"/>
          <w:szCs w:val="32"/>
          <w:highlight w:val="none"/>
          <w:shd w:val="clear" w:color="FFFFFF" w:fill="D9D9D9"/>
        </w:rPr>
        <w:t>较大变更标准为单项工程变更金额在200万元</w:t>
      </w:r>
      <w:r>
        <w:rPr>
          <w:rFonts w:hint="eastAsia" w:ascii="Times New Roman" w:hAnsi="Times New Roman" w:eastAsia="仿宋_GB2312" w:cs="Times New Roman"/>
          <w:b w:val="0"/>
          <w:bCs/>
          <w:color w:val="auto"/>
          <w:spacing w:val="0"/>
          <w:sz w:val="32"/>
          <w:szCs w:val="32"/>
          <w:highlight w:val="none"/>
          <w:shd w:val="clear" w:color="FFFFFF" w:fill="D9D9D9"/>
          <w:lang w:eastAsia="zh-CN"/>
        </w:rPr>
        <w:t>（含）</w:t>
      </w:r>
      <w:r>
        <w:rPr>
          <w:rFonts w:hint="default" w:ascii="Times New Roman" w:hAnsi="Times New Roman" w:eastAsia="仿宋_GB2312" w:cs="Times New Roman"/>
          <w:b w:val="0"/>
          <w:bCs/>
          <w:color w:val="auto"/>
          <w:spacing w:val="0"/>
          <w:sz w:val="32"/>
          <w:szCs w:val="32"/>
          <w:highlight w:val="none"/>
          <w:shd w:val="clear" w:color="FFFFFF" w:fill="D9D9D9"/>
        </w:rPr>
        <w:t>-500万元或者在合同价10%</w:t>
      </w:r>
      <w:r>
        <w:rPr>
          <w:rFonts w:hint="eastAsia" w:ascii="Times New Roman" w:hAnsi="Times New Roman" w:eastAsia="仿宋_GB2312" w:cs="Times New Roman"/>
          <w:b w:val="0"/>
          <w:bCs/>
          <w:color w:val="auto"/>
          <w:spacing w:val="0"/>
          <w:sz w:val="32"/>
          <w:szCs w:val="32"/>
          <w:highlight w:val="none"/>
          <w:shd w:val="clear" w:color="FFFFFF" w:fill="D9D9D9"/>
          <w:lang w:eastAsia="zh-CN"/>
        </w:rPr>
        <w:t>（含）</w:t>
      </w:r>
      <w:r>
        <w:rPr>
          <w:rFonts w:hint="default" w:ascii="Times New Roman" w:hAnsi="Times New Roman" w:eastAsia="仿宋_GB2312" w:cs="Times New Roman"/>
          <w:b w:val="0"/>
          <w:bCs/>
          <w:color w:val="auto"/>
          <w:spacing w:val="0"/>
          <w:sz w:val="32"/>
          <w:szCs w:val="32"/>
          <w:highlight w:val="none"/>
          <w:shd w:val="clear" w:color="FFFFFF" w:fill="D9D9D9"/>
        </w:rPr>
        <w:t>-15%之间</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0070C0"/>
          <w:spacing w:val="0"/>
          <w:sz w:val="32"/>
          <w:szCs w:val="32"/>
          <w:highlight w:val="yellow"/>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（四）</w:t>
      </w:r>
      <w:r>
        <w:rPr>
          <w:rFonts w:hint="default" w:ascii="Times New Roman" w:hAnsi="Times New Roman" w:eastAsia="仿宋_GB2312" w:cs="Times New Roman"/>
          <w:b w:val="0"/>
          <w:bCs/>
          <w:color w:val="auto"/>
          <w:spacing w:val="0"/>
          <w:sz w:val="32"/>
          <w:szCs w:val="32"/>
          <w:highlight w:val="none"/>
          <w:shd w:val="clear" w:color="FFFFFF" w:fill="D9D9D9"/>
        </w:rPr>
        <w:t>重大变更标准为单项工程变更金额在500万元</w:t>
      </w:r>
      <w:r>
        <w:rPr>
          <w:rFonts w:hint="eastAsia" w:ascii="Times New Roman" w:hAnsi="Times New Roman" w:eastAsia="仿宋_GB2312" w:cs="Times New Roman"/>
          <w:b w:val="0"/>
          <w:bCs/>
          <w:color w:val="auto"/>
          <w:spacing w:val="0"/>
          <w:sz w:val="32"/>
          <w:szCs w:val="32"/>
          <w:highlight w:val="none"/>
          <w:shd w:val="clear" w:color="FFFFFF" w:fill="D9D9D9"/>
          <w:lang w:eastAsia="zh-CN"/>
        </w:rPr>
        <w:t>（含）</w:t>
      </w:r>
      <w:r>
        <w:rPr>
          <w:rFonts w:hint="default" w:ascii="Times New Roman" w:hAnsi="Times New Roman" w:eastAsia="仿宋_GB2312" w:cs="Times New Roman"/>
          <w:b w:val="0"/>
          <w:bCs/>
          <w:color w:val="auto"/>
          <w:spacing w:val="0"/>
          <w:sz w:val="32"/>
          <w:szCs w:val="32"/>
          <w:highlight w:val="none"/>
          <w:shd w:val="clear" w:color="FFFFFF" w:fill="D9D9D9"/>
        </w:rPr>
        <w:t>以上或者在合同价15%</w:t>
      </w:r>
      <w:r>
        <w:rPr>
          <w:rFonts w:hint="eastAsia" w:ascii="Times New Roman" w:hAnsi="Times New Roman" w:eastAsia="仿宋_GB2312" w:cs="Times New Roman"/>
          <w:b w:val="0"/>
          <w:bCs/>
          <w:color w:val="auto"/>
          <w:spacing w:val="0"/>
          <w:sz w:val="32"/>
          <w:szCs w:val="32"/>
          <w:highlight w:val="none"/>
          <w:shd w:val="clear" w:color="FFFFFF" w:fill="D9D9D9"/>
          <w:lang w:eastAsia="zh-CN"/>
        </w:rPr>
        <w:t>（含）</w:t>
      </w:r>
      <w:r>
        <w:rPr>
          <w:rFonts w:hint="default" w:ascii="Times New Roman" w:hAnsi="Times New Roman" w:eastAsia="仿宋_GB2312" w:cs="Times New Roman"/>
          <w:b w:val="0"/>
          <w:bCs/>
          <w:color w:val="auto"/>
          <w:spacing w:val="0"/>
          <w:sz w:val="32"/>
          <w:szCs w:val="32"/>
          <w:highlight w:val="none"/>
          <w:shd w:val="clear" w:color="FFFFFF" w:fill="D9D9D9"/>
        </w:rPr>
        <w:t>以上或者涉及建设规模扩大、建设内容增加、建设标准提高的。</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auto"/>
          <w:spacing w:val="0"/>
          <w:sz w:val="32"/>
          <w:szCs w:val="32"/>
          <w:highlight w:val="none"/>
          <w:shd w:val="clear" w:color="FFFFFF" w:fill="D9D9D9"/>
        </w:rPr>
      </w:pPr>
      <w:r>
        <w:rPr>
          <w:rFonts w:hint="default" w:ascii="Times New Roman" w:hAnsi="Times New Roman" w:eastAsia="黑体" w:cs="Times New Roman"/>
          <w:b w:val="0"/>
          <w:bCs/>
          <w:color w:val="auto"/>
          <w:spacing w:val="0"/>
          <w:sz w:val="32"/>
          <w:szCs w:val="32"/>
          <w:highlight w:val="none"/>
          <w:shd w:val="clear" w:color="FFFFFF" w:fill="D9D9D9"/>
        </w:rPr>
        <w:t>第十七条</w:t>
      </w:r>
      <w:r>
        <w:rPr>
          <w:rFonts w:hint="eastAsia" w:ascii="Times New Roman" w:hAnsi="Times New Roman" w:eastAsia="黑体" w:cs="Times New Roman"/>
          <w:b w:val="0"/>
          <w:bCs/>
          <w:color w:val="auto"/>
          <w:spacing w:val="0"/>
          <w:sz w:val="32"/>
          <w:szCs w:val="32"/>
          <w:highlight w:val="none"/>
          <w:shd w:val="clear" w:color="FFFFFF" w:fill="D9D9D9"/>
          <w:lang w:val="en-US" w:eastAsia="zh-CN"/>
        </w:rPr>
        <w:t xml:space="preserve"> </w:t>
      </w:r>
      <w:r>
        <w:rPr>
          <w:rFonts w:hint="default" w:ascii="Times New Roman" w:hAnsi="Times New Roman" w:eastAsia="仿宋_GB2312" w:cs="Times New Roman"/>
          <w:b w:val="0"/>
          <w:bCs/>
          <w:color w:val="auto"/>
          <w:spacing w:val="0"/>
          <w:sz w:val="32"/>
          <w:szCs w:val="32"/>
          <w:highlight w:val="none"/>
          <w:shd w:val="clear" w:color="FFFFFF" w:fill="D9D9D9"/>
        </w:rPr>
        <w:t>简单变更由建设单位按照内部控制程序自行审批。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default" w:ascii="Times New Roman" w:hAnsi="Times New Roman" w:eastAsia="仿宋_GB2312" w:cs="Times New Roman"/>
          <w:b w:val="0"/>
          <w:bCs/>
          <w:color w:val="auto"/>
          <w:spacing w:val="0"/>
          <w:sz w:val="32"/>
          <w:szCs w:val="32"/>
          <w:highlight w:val="none"/>
          <w:shd w:val="clear" w:color="FFFFFF" w:fill="D9D9D9"/>
        </w:rPr>
        <w:t>一般以上变更</w:t>
      </w:r>
      <w:r>
        <w:rPr>
          <w:rFonts w:hint="eastAsia" w:ascii="Times New Roman" w:hAnsi="Times New Roman" w:eastAsia="仿宋_GB2312" w:cs="Times New Roman"/>
          <w:b w:val="0"/>
          <w:bCs/>
          <w:color w:val="auto"/>
          <w:spacing w:val="0"/>
          <w:sz w:val="32"/>
          <w:szCs w:val="32"/>
          <w:highlight w:val="none"/>
          <w:shd w:val="clear" w:color="FFFFFF" w:fill="D9D9D9"/>
          <w:lang w:eastAsia="zh-CN"/>
        </w:rPr>
        <w:t>按照下列程序报批：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auto"/>
          <w:spacing w:val="0"/>
          <w:sz w:val="32"/>
          <w:szCs w:val="32"/>
          <w:highlight w:val="none"/>
          <w:shd w:val="clear" w:color="FFFFFF" w:fill="D9D9D9"/>
        </w:rPr>
      </w:pPr>
      <w:r>
        <w:rPr>
          <w:rFonts w:hint="default" w:ascii="Times New Roman" w:hAnsi="Times New Roman" w:eastAsia="仿宋_GB2312" w:cs="Times New Roman"/>
          <w:b w:val="0"/>
          <w:bCs/>
          <w:color w:val="auto"/>
          <w:spacing w:val="0"/>
          <w:sz w:val="32"/>
          <w:szCs w:val="32"/>
          <w:highlight w:val="none"/>
          <w:shd w:val="clear" w:color="FFFFFF" w:fill="D9D9D9"/>
        </w:rPr>
        <w:t>（一）建设单位内部初步审核完成后，书面提出工程变更意向申请，初步说明变更项目的名称、理由、内容、范围、金额、计划实施时间、对工期影响、已开展的相关工作等；</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default" w:ascii="Times New Roman" w:hAnsi="Times New Roman" w:eastAsia="仿宋_GB2312" w:cs="Times New Roman"/>
          <w:b w:val="0"/>
          <w:bCs/>
          <w:color w:val="auto"/>
          <w:spacing w:val="0"/>
          <w:sz w:val="32"/>
          <w:szCs w:val="32"/>
          <w:highlight w:val="none"/>
          <w:shd w:val="clear" w:color="FFFFFF" w:fill="D9D9D9"/>
        </w:rPr>
        <w:t>（二）区发改</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委</w:t>
      </w:r>
      <w:r>
        <w:rPr>
          <w:rFonts w:hint="default" w:ascii="Times New Roman" w:hAnsi="Times New Roman" w:eastAsia="仿宋_GB2312" w:cs="Times New Roman"/>
          <w:b w:val="0"/>
          <w:bCs/>
          <w:color w:val="auto"/>
          <w:spacing w:val="0"/>
          <w:sz w:val="32"/>
          <w:szCs w:val="32"/>
          <w:highlight w:val="none"/>
          <w:shd w:val="clear" w:color="FFFFFF" w:fill="D9D9D9"/>
        </w:rPr>
        <w:t>、国资</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和金融监管局</w:t>
      </w:r>
      <w:r>
        <w:rPr>
          <w:rFonts w:hint="default" w:ascii="Times New Roman" w:hAnsi="Times New Roman" w:eastAsia="仿宋_GB2312" w:cs="Times New Roman"/>
          <w:b w:val="0"/>
          <w:bCs/>
          <w:color w:val="auto"/>
          <w:spacing w:val="0"/>
          <w:sz w:val="32"/>
          <w:szCs w:val="32"/>
          <w:highlight w:val="none"/>
          <w:shd w:val="clear" w:color="FFFFFF" w:fill="D9D9D9"/>
        </w:rPr>
        <w:t>按职责分工于2个工作日内进行实地勘察，必要时可组织联审会议成员单位共同参加，初步核实变更情况，就下一步变更如何实施出具初步意见</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default" w:ascii="Times New Roman" w:hAnsi="Times New Roman" w:eastAsia="仿宋_GB2312" w:cs="Times New Roman"/>
          <w:b w:val="0"/>
          <w:bCs/>
          <w:color w:val="auto"/>
          <w:spacing w:val="0"/>
          <w:sz w:val="32"/>
          <w:szCs w:val="32"/>
          <w:highlight w:val="none"/>
          <w:shd w:val="clear" w:color="FFFFFF" w:fill="D9D9D9"/>
        </w:rPr>
        <w:t>（三）在初步意见要求时间内，建设单位内部完成最终审核，按文件附后要求提交齐全的工程变更报批资料</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auto"/>
          <w:spacing w:val="0"/>
          <w:sz w:val="32"/>
          <w:szCs w:val="32"/>
          <w:highlight w:val="none"/>
          <w:shd w:val="clear" w:color="FFFFFF" w:fill="D9D9D9"/>
        </w:rPr>
      </w:pPr>
      <w:r>
        <w:rPr>
          <w:rFonts w:hint="default" w:ascii="Times New Roman" w:hAnsi="Times New Roman" w:eastAsia="仿宋_GB2312" w:cs="Times New Roman"/>
          <w:b w:val="0"/>
          <w:bCs/>
          <w:color w:val="auto"/>
          <w:spacing w:val="0"/>
          <w:sz w:val="32"/>
          <w:szCs w:val="32"/>
          <w:highlight w:val="none"/>
          <w:shd w:val="clear" w:color="FFFFFF" w:fill="D9D9D9"/>
        </w:rPr>
        <w:t>（四）一般变更材料齐全后区发改</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委</w:t>
      </w:r>
      <w:r>
        <w:rPr>
          <w:rFonts w:hint="default" w:ascii="Times New Roman" w:hAnsi="Times New Roman" w:eastAsia="仿宋_GB2312" w:cs="Times New Roman"/>
          <w:b w:val="0"/>
          <w:bCs/>
          <w:color w:val="auto"/>
          <w:spacing w:val="0"/>
          <w:sz w:val="32"/>
          <w:szCs w:val="32"/>
          <w:highlight w:val="none"/>
          <w:shd w:val="clear" w:color="FFFFFF" w:fill="D9D9D9"/>
        </w:rPr>
        <w:t>、国资</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和金融监管局</w:t>
      </w:r>
      <w:r>
        <w:rPr>
          <w:rFonts w:hint="default" w:ascii="Times New Roman" w:hAnsi="Times New Roman" w:eastAsia="仿宋_GB2312" w:cs="Times New Roman"/>
          <w:b w:val="0"/>
          <w:bCs/>
          <w:color w:val="auto"/>
          <w:spacing w:val="0"/>
          <w:sz w:val="32"/>
          <w:szCs w:val="32"/>
          <w:highlight w:val="none"/>
          <w:shd w:val="clear" w:color="FFFFFF" w:fill="D9D9D9"/>
        </w:rPr>
        <w:t>按职责分工于5个工作日内出具审查意见。较大以上变更区发改</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委</w:t>
      </w:r>
      <w:r>
        <w:rPr>
          <w:rFonts w:hint="default" w:ascii="Times New Roman" w:hAnsi="Times New Roman" w:eastAsia="仿宋_GB2312" w:cs="Times New Roman"/>
          <w:b w:val="0"/>
          <w:bCs/>
          <w:color w:val="auto"/>
          <w:spacing w:val="0"/>
          <w:sz w:val="32"/>
          <w:szCs w:val="32"/>
          <w:highlight w:val="none"/>
          <w:shd w:val="clear" w:color="FFFFFF" w:fill="D9D9D9"/>
        </w:rPr>
        <w:t>、国资</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和金融监管局</w:t>
      </w:r>
      <w:r>
        <w:rPr>
          <w:rFonts w:hint="default" w:ascii="Times New Roman" w:hAnsi="Times New Roman" w:eastAsia="仿宋_GB2312" w:cs="Times New Roman"/>
          <w:b w:val="0"/>
          <w:bCs/>
          <w:color w:val="auto"/>
          <w:spacing w:val="0"/>
          <w:sz w:val="32"/>
          <w:szCs w:val="32"/>
          <w:highlight w:val="none"/>
          <w:shd w:val="clear" w:color="FFFFFF" w:fill="D9D9D9"/>
        </w:rPr>
        <w:t>按职责分工于3个工作日内牵头组织召开联审会议，对变更方案进行审查，于2个工作日内出具联审会议纪要，建设单位根据联审会议纪要修改完善工程变更报批资料，区发改</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委</w:t>
      </w:r>
      <w:r>
        <w:rPr>
          <w:rFonts w:hint="default" w:ascii="Times New Roman" w:hAnsi="Times New Roman" w:eastAsia="仿宋_GB2312" w:cs="Times New Roman"/>
          <w:b w:val="0"/>
          <w:bCs/>
          <w:color w:val="auto"/>
          <w:spacing w:val="0"/>
          <w:sz w:val="32"/>
          <w:szCs w:val="32"/>
          <w:highlight w:val="none"/>
          <w:shd w:val="clear" w:color="FFFFFF" w:fill="D9D9D9"/>
        </w:rPr>
        <w:t>、国资</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和金融监管局</w:t>
      </w:r>
      <w:r>
        <w:rPr>
          <w:rFonts w:hint="default" w:ascii="Times New Roman" w:hAnsi="Times New Roman" w:eastAsia="仿宋_GB2312" w:cs="Times New Roman"/>
          <w:b w:val="0"/>
          <w:bCs/>
          <w:color w:val="auto"/>
          <w:spacing w:val="0"/>
          <w:sz w:val="32"/>
          <w:szCs w:val="32"/>
          <w:highlight w:val="none"/>
          <w:shd w:val="clear" w:color="FFFFFF" w:fill="D9D9D9"/>
        </w:rPr>
        <w:t>按职责分工对完善后的资料审查后，较大变更报区政府分管（条口）领导批准，重大变更经项目的行业分管领导审查后提请区政府常务会议（或区长办公会）批准，批准后2个工作日内出具审查意见。</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auto"/>
          <w:spacing w:val="0"/>
          <w:sz w:val="32"/>
          <w:szCs w:val="32"/>
          <w:highlight w:val="none"/>
          <w:shd w:val="clear" w:color="FFFFFF" w:fill="D9D9D9"/>
        </w:rPr>
      </w:pPr>
      <w:r>
        <w:rPr>
          <w:rFonts w:hint="default" w:ascii="Times New Roman" w:hAnsi="Times New Roman" w:eastAsia="黑体" w:cs="Times New Roman"/>
          <w:b w:val="0"/>
          <w:bCs/>
          <w:color w:val="auto"/>
          <w:spacing w:val="0"/>
          <w:sz w:val="32"/>
          <w:szCs w:val="32"/>
          <w:highlight w:val="none"/>
          <w:shd w:val="clear" w:color="FFFFFF" w:fill="D9D9D9"/>
        </w:rPr>
        <w:t>第十八条</w:t>
      </w:r>
      <w:r>
        <w:rPr>
          <w:rFonts w:hint="default" w:ascii="Times New Roman" w:hAnsi="Times New Roman" w:eastAsia="仿宋_GB2312" w:cs="Times New Roman"/>
          <w:b w:val="0"/>
          <w:bCs/>
          <w:color w:val="auto"/>
          <w:spacing w:val="0"/>
          <w:sz w:val="32"/>
          <w:szCs w:val="32"/>
          <w:highlight w:val="none"/>
          <w:shd w:val="clear" w:color="FFFFFF" w:fill="D9D9D9"/>
        </w:rPr>
        <w:t> 应急、抢险保修、突发事件或因报批停工将导致工程质量、安全、工期受到严重影响等特殊情况，建设单位按内部应急控制程序进行应急处理，保留相关影像资料，应急处理后15</w:t>
      </w:r>
      <w:r>
        <w:rPr>
          <w:rFonts w:hint="default" w:ascii="Times New Roman" w:hAnsi="Times New Roman" w:eastAsia="仿宋_GB2312" w:cs="Times New Roman"/>
          <w:b w:val="0"/>
          <w:bCs/>
          <w:color w:val="auto"/>
          <w:spacing w:val="0"/>
          <w:sz w:val="32"/>
          <w:szCs w:val="32"/>
          <w:highlight w:val="none"/>
          <w:shd w:val="clear" w:color="FFFFFF" w:fill="D9D9D9"/>
          <w:lang w:val="en-US" w:eastAsia="zh-CN"/>
        </w:rPr>
        <w:t>个</w:t>
      </w:r>
      <w:r>
        <w:rPr>
          <w:rFonts w:hint="default" w:ascii="Times New Roman" w:hAnsi="Times New Roman" w:eastAsia="仿宋_GB2312" w:cs="Times New Roman"/>
          <w:b w:val="0"/>
          <w:bCs/>
          <w:color w:val="auto"/>
          <w:spacing w:val="0"/>
          <w:sz w:val="32"/>
          <w:szCs w:val="32"/>
          <w:highlight w:val="none"/>
          <w:shd w:val="clear" w:color="FFFFFF" w:fill="D9D9D9"/>
        </w:rPr>
        <w:t>工作日内补报有关变更手续，按变更金额履行相应审批手续。</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color w:val="0070C0"/>
          <w:spacing w:val="0"/>
          <w:sz w:val="32"/>
          <w:szCs w:val="32"/>
          <w:highlight w:val="none"/>
        </w:rPr>
      </w:pPr>
      <w:r>
        <w:rPr>
          <w:rFonts w:hint="default" w:ascii="Times New Roman" w:hAnsi="Times New Roman" w:eastAsia="黑体" w:cs="Times New Roman"/>
          <w:b w:val="0"/>
          <w:bCs/>
          <w:color w:val="auto"/>
          <w:spacing w:val="0"/>
          <w:sz w:val="32"/>
          <w:szCs w:val="32"/>
          <w:highlight w:val="none"/>
          <w:shd w:val="clear" w:color="FFFFFF" w:fill="D9D9D9"/>
        </w:rPr>
        <w:t>第十九条</w:t>
      </w:r>
      <w:r>
        <w:rPr>
          <w:rFonts w:hint="default" w:ascii="Times New Roman" w:hAnsi="Times New Roman" w:eastAsia="仿宋_GB2312" w:cs="Times New Roman"/>
          <w:b w:val="0"/>
          <w:bCs/>
          <w:color w:val="auto"/>
          <w:spacing w:val="0"/>
          <w:sz w:val="32"/>
          <w:szCs w:val="32"/>
          <w:highlight w:val="none"/>
          <w:shd w:val="clear" w:color="FFFFFF" w:fill="D9D9D9"/>
        </w:rPr>
        <w:t> 在变更程序履行完毕之前，各相关单位原则上不继续进行计量（核产）及工程价款支付等相关工作。对未按规定履行工程变更报批手续的，项目竣工结算时审计部门责令建设单位整改，不能整改的，将作为问题在项目竣工结算报告中反映，并向有关单位通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default" w:ascii="Times New Roman" w:hAnsi="Times New Roman" w:eastAsia="黑体" w:cs="Times New Roman"/>
          <w:b w:val="0"/>
          <w:bCs/>
          <w:color w:val="auto"/>
          <w:spacing w:val="0"/>
          <w:sz w:val="32"/>
          <w:szCs w:val="32"/>
          <w:highlight w:val="none"/>
          <w:shd w:val="clear" w:color="FFFFFF" w:fill="D9D9D9"/>
        </w:rPr>
        <w:t>第二十条</w:t>
      </w:r>
      <w:r>
        <w:rPr>
          <w:rFonts w:hint="default" w:ascii="Times New Roman" w:hAnsi="Times New Roman" w:eastAsia="仿宋_GB2312" w:cs="Times New Roman"/>
          <w:b w:val="0"/>
          <w:bCs/>
          <w:spacing w:val="0"/>
          <w:sz w:val="32"/>
          <w:szCs w:val="32"/>
        </w:rPr>
        <w:t> 因下列原因造成的工程变更，由建设单位在相应的合同中约定扣减其服务费，并将其不良行为报招投标领导小组，视情节作出相应的惩戒措施：</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eastAsia" w:ascii="Times New Roman" w:hAnsi="Times New Roman" w:eastAsia="仿宋_GB2312" w:cs="Times New Roman"/>
          <w:b w:val="0"/>
          <w:bCs/>
          <w:spacing w:val="0"/>
          <w:sz w:val="32"/>
          <w:szCs w:val="32"/>
          <w:lang w:eastAsia="zh-CN"/>
        </w:rPr>
        <w:t>（一）</w:t>
      </w:r>
      <w:r>
        <w:rPr>
          <w:rFonts w:hint="default" w:ascii="Times New Roman" w:hAnsi="Times New Roman" w:eastAsia="仿宋_GB2312" w:cs="Times New Roman"/>
          <w:b w:val="0"/>
          <w:bCs/>
          <w:spacing w:val="0"/>
          <w:sz w:val="32"/>
          <w:szCs w:val="32"/>
        </w:rPr>
        <w:t>实际地质情况与勘察报告不符、违反工程建设强制性标准等勘察失误；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eastAsia" w:ascii="Times New Roman" w:hAnsi="Times New Roman" w:eastAsia="仿宋_GB2312" w:cs="Times New Roman"/>
          <w:b w:val="0"/>
          <w:bCs/>
          <w:spacing w:val="0"/>
          <w:sz w:val="32"/>
          <w:szCs w:val="32"/>
          <w:lang w:eastAsia="zh-CN"/>
        </w:rPr>
        <w:t>（二）</w:t>
      </w:r>
      <w:r>
        <w:rPr>
          <w:rFonts w:hint="default" w:ascii="Times New Roman" w:hAnsi="Times New Roman" w:eastAsia="仿宋_GB2312" w:cs="Times New Roman"/>
          <w:b w:val="0"/>
          <w:bCs/>
          <w:spacing w:val="0"/>
          <w:sz w:val="32"/>
          <w:szCs w:val="32"/>
        </w:rPr>
        <w:t>擅自向建设单位提供与规划许可要求不符的施工图纸、未经批准擅自出具设计变更文件或联系单、设计文件遗漏、错误和不合理等设计质量问题；</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eastAsia" w:ascii="Times New Roman" w:hAnsi="Times New Roman" w:eastAsia="仿宋_GB2312" w:cs="Times New Roman"/>
          <w:b w:val="0"/>
          <w:bCs/>
          <w:spacing w:val="0"/>
          <w:sz w:val="32"/>
          <w:szCs w:val="32"/>
          <w:lang w:eastAsia="zh-CN"/>
        </w:rPr>
        <w:t>（三）</w:t>
      </w:r>
      <w:r>
        <w:rPr>
          <w:rFonts w:hint="default" w:ascii="Times New Roman" w:hAnsi="Times New Roman" w:eastAsia="仿宋_GB2312" w:cs="Times New Roman"/>
          <w:b w:val="0"/>
          <w:bCs/>
          <w:spacing w:val="0"/>
          <w:sz w:val="32"/>
          <w:szCs w:val="32"/>
        </w:rPr>
        <w:t>招标代理过程中履职不到位，未仔细审阅勘察报告、施工图及施工说明、未仔细踏勘现场、未考虑工程实施过程中的措施性工程或辅助性工程等而导致增加工程子目或工程造价、弄虚作假、工程量清单或招标控制价编制出现错漏项、计算错误等代理行为缺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default" w:ascii="Times New Roman" w:hAnsi="Times New Roman" w:eastAsia="黑体" w:cs="Times New Roman"/>
          <w:b w:val="0"/>
          <w:bCs/>
          <w:color w:val="auto"/>
          <w:spacing w:val="0"/>
          <w:sz w:val="32"/>
          <w:szCs w:val="32"/>
          <w:highlight w:val="none"/>
          <w:shd w:val="clear" w:color="FFFFFF" w:fill="D9D9D9"/>
        </w:rPr>
        <w:t>第二十一条</w:t>
      </w:r>
      <w:r>
        <w:rPr>
          <w:rFonts w:hint="default" w:ascii="Times New Roman" w:hAnsi="Times New Roman" w:eastAsia="仿宋_GB2312" w:cs="Times New Roman"/>
          <w:b w:val="0"/>
          <w:bCs/>
          <w:spacing w:val="0"/>
          <w:sz w:val="32"/>
          <w:szCs w:val="32"/>
        </w:rPr>
        <w:t> </w:t>
      </w:r>
      <w:r>
        <w:rPr>
          <w:rFonts w:hint="eastAsia" w:ascii="Times New Roman" w:hAnsi="Times New Roman" w:eastAsia="仿宋_GB2312" w:cs="Times New Roman"/>
          <w:b w:val="0"/>
          <w:bCs/>
          <w:spacing w:val="0"/>
          <w:sz w:val="32"/>
          <w:szCs w:val="32"/>
          <w:lang w:val="en-US" w:eastAsia="zh-CN"/>
        </w:rPr>
        <w:t xml:space="preserve"> </w:t>
      </w:r>
      <w:r>
        <w:rPr>
          <w:rFonts w:hint="default" w:ascii="Times New Roman" w:hAnsi="Times New Roman" w:eastAsia="仿宋_GB2312" w:cs="Times New Roman"/>
          <w:b w:val="0"/>
          <w:bCs/>
          <w:spacing w:val="0"/>
          <w:sz w:val="32"/>
          <w:szCs w:val="32"/>
        </w:rPr>
        <w:t>政府投资项目实行必审制度，投资额5000万元及以上和重大民生工程实行跟踪审计。</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cs="Times New Roman"/>
          <w:b w:val="0"/>
          <w:bCs/>
          <w:spacing w:val="0"/>
          <w:sz w:val="32"/>
          <w:szCs w:val="32"/>
        </w:rPr>
      </w:pPr>
      <w:r>
        <w:rPr>
          <w:rFonts w:hint="default" w:ascii="Times New Roman" w:hAnsi="Times New Roman" w:eastAsia="黑体" w:cs="Times New Roman"/>
          <w:b w:val="0"/>
          <w:bCs/>
          <w:color w:val="auto"/>
          <w:spacing w:val="0"/>
          <w:sz w:val="32"/>
          <w:szCs w:val="32"/>
          <w:highlight w:val="none"/>
          <w:shd w:val="clear" w:color="FFFFFF" w:fill="D9D9D9"/>
        </w:rPr>
        <w:t>第二十二条</w:t>
      </w:r>
      <w:r>
        <w:rPr>
          <w:rFonts w:hint="eastAsia" w:ascii="Times New Roman" w:hAnsi="Times New Roman" w:eastAsia="黑体" w:cs="Times New Roman"/>
          <w:b w:val="0"/>
          <w:bCs/>
          <w:color w:val="0070C0"/>
          <w:spacing w:val="0"/>
          <w:sz w:val="32"/>
          <w:szCs w:val="32"/>
          <w:highlight w:val="none"/>
          <w:lang w:val="en-US" w:eastAsia="zh-CN"/>
        </w:rPr>
        <w:t xml:space="preserve"> </w:t>
      </w:r>
      <w:r>
        <w:rPr>
          <w:rFonts w:hint="default" w:ascii="Times New Roman" w:hAnsi="Times New Roman" w:eastAsia="仿宋_GB2312" w:cs="Times New Roman"/>
          <w:b w:val="0"/>
          <w:bCs/>
          <w:spacing w:val="0"/>
          <w:sz w:val="32"/>
          <w:szCs w:val="32"/>
        </w:rPr>
        <w:t>工程款支付实行主要领导负责制，违规付款按照谁签字谁负责的原则予以追缴。建设单位在工程建设中存在违法违规行为的，相关部门将停止工程款拨付，直至完全整改到位；施工单位存在转包、违法分包等违法违规行为的， 一律停止支付工程款；因施工单位原因延误工期、出现工程质量问题或材料</w:t>
      </w:r>
      <w:r>
        <w:rPr>
          <w:rFonts w:hint="eastAsia" w:ascii="Times New Roman" w:hAnsi="Times New Roman" w:eastAsia="仿宋_GB2312" w:cs="Times New Roman"/>
          <w:b w:val="0"/>
          <w:bCs/>
          <w:spacing w:val="0"/>
          <w:sz w:val="32"/>
          <w:szCs w:val="32"/>
          <w:lang w:eastAsia="zh-CN"/>
        </w:rPr>
        <w:t>（设备）</w:t>
      </w:r>
      <w:r>
        <w:rPr>
          <w:rFonts w:hint="default" w:ascii="Times New Roman" w:hAnsi="Times New Roman" w:eastAsia="仿宋_GB2312" w:cs="Times New Roman"/>
          <w:b w:val="0"/>
          <w:bCs/>
          <w:spacing w:val="0"/>
          <w:sz w:val="32"/>
          <w:szCs w:val="32"/>
        </w:rPr>
        <w:t>不符合要求等情况的，建设单位应严格按照合同要求扣除相应款项。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center"/>
        <w:textAlignment w:val="baseline"/>
        <w:rPr>
          <w:rFonts w:hint="default" w:ascii="Times New Roman" w:hAnsi="Times New Roman" w:eastAsia="黑体" w:cs="Times New Roman"/>
          <w:b w:val="0"/>
          <w:bCs/>
          <w:spacing w:val="0"/>
          <w:sz w:val="32"/>
          <w:szCs w:val="32"/>
        </w:rPr>
      </w:pPr>
      <w:r>
        <w:rPr>
          <w:rFonts w:hint="default" w:ascii="Times New Roman" w:hAnsi="Times New Roman" w:eastAsia="黑体" w:cs="Times New Roman"/>
          <w:b w:val="0"/>
          <w:bCs/>
          <w:spacing w:val="0"/>
          <w:sz w:val="32"/>
          <w:szCs w:val="32"/>
        </w:rPr>
        <w:t>第四章</w:t>
      </w:r>
      <w:r>
        <w:rPr>
          <w:rFonts w:hint="default" w:ascii="Times New Roman" w:hAnsi="Times New Roman" w:eastAsia="黑体" w:cs="Times New Roman"/>
          <w:b w:val="0"/>
          <w:bCs/>
          <w:spacing w:val="0"/>
          <w:sz w:val="32"/>
          <w:szCs w:val="32"/>
          <w:lang w:val="en-US" w:eastAsia="zh-CN"/>
        </w:rPr>
        <w:t xml:space="preserve"> </w:t>
      </w:r>
      <w:r>
        <w:rPr>
          <w:rFonts w:hint="default" w:ascii="Times New Roman" w:hAnsi="Times New Roman" w:eastAsia="黑体" w:cs="Times New Roman"/>
          <w:b w:val="0"/>
          <w:bCs/>
          <w:spacing w:val="0"/>
          <w:sz w:val="32"/>
          <w:szCs w:val="32"/>
        </w:rPr>
        <w:t>责任追究</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default" w:ascii="Times New Roman" w:hAnsi="Times New Roman" w:eastAsia="黑体" w:cs="Times New Roman"/>
          <w:b w:val="0"/>
          <w:bCs/>
          <w:color w:val="auto"/>
          <w:spacing w:val="0"/>
          <w:sz w:val="32"/>
          <w:szCs w:val="32"/>
          <w:highlight w:val="none"/>
          <w:shd w:val="clear" w:color="FFFFFF" w:fill="D9D9D9"/>
        </w:rPr>
        <w:t>第二十三条</w:t>
      </w:r>
      <w:r>
        <w:rPr>
          <w:rFonts w:hint="eastAsia" w:ascii="Times New Roman" w:hAnsi="Times New Roman" w:eastAsia="黑体" w:cs="Times New Roman"/>
          <w:b w:val="0"/>
          <w:bCs/>
          <w:color w:val="0070C0"/>
          <w:spacing w:val="0"/>
          <w:sz w:val="32"/>
          <w:szCs w:val="32"/>
          <w:highlight w:val="none"/>
          <w:lang w:val="en-US" w:eastAsia="zh-CN"/>
        </w:rPr>
        <w:t xml:space="preserve"> </w:t>
      </w:r>
      <w:r>
        <w:rPr>
          <w:rFonts w:hint="default" w:ascii="Times New Roman" w:hAnsi="Times New Roman" w:eastAsia="仿宋_GB2312" w:cs="Times New Roman"/>
          <w:b w:val="0"/>
          <w:bCs/>
          <w:spacing w:val="0"/>
          <w:sz w:val="32"/>
          <w:szCs w:val="32"/>
        </w:rPr>
        <w:t>相关建设单位和行业行政主管部门在工程建设项目中必须履行相应标后监管职责，不正确履职或履职不到位的，将依法依纪追究相应责任。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default" w:ascii="Times New Roman" w:hAnsi="Times New Roman" w:eastAsia="黑体" w:cs="Times New Roman"/>
          <w:b w:val="0"/>
          <w:bCs/>
          <w:color w:val="auto"/>
          <w:spacing w:val="0"/>
          <w:sz w:val="32"/>
          <w:szCs w:val="32"/>
          <w:highlight w:val="none"/>
          <w:shd w:val="clear" w:color="FFFFFF" w:fill="D9D9D9"/>
        </w:rPr>
        <w:t>第二十四</w:t>
      </w:r>
      <w:r>
        <w:rPr>
          <w:rFonts w:hint="default" w:ascii="Times New Roman" w:hAnsi="Times New Roman" w:eastAsia="黑体" w:cs="Times New Roman"/>
          <w:b w:val="0"/>
          <w:bCs/>
          <w:color w:val="auto"/>
          <w:spacing w:val="0"/>
          <w:sz w:val="32"/>
          <w:szCs w:val="32"/>
          <w:highlight w:val="none"/>
          <w:shd w:val="clear" w:color="FFFFFF" w:fill="D9D9D9"/>
          <w:lang w:val="en-US" w:eastAsia="zh-CN"/>
        </w:rPr>
        <w:t>条</w:t>
      </w:r>
      <w:r>
        <w:rPr>
          <w:rFonts w:hint="eastAsia" w:ascii="Times New Roman" w:hAnsi="Times New Roman" w:eastAsia="黑体" w:cs="Times New Roman"/>
          <w:b w:val="0"/>
          <w:bCs/>
          <w:color w:val="0070C0"/>
          <w:spacing w:val="0"/>
          <w:sz w:val="32"/>
          <w:szCs w:val="32"/>
          <w:highlight w:val="none"/>
          <w:lang w:val="en-US" w:eastAsia="zh-CN"/>
        </w:rPr>
        <w:t xml:space="preserve"> </w:t>
      </w:r>
      <w:r>
        <w:rPr>
          <w:rFonts w:hint="default" w:ascii="Times New Roman" w:hAnsi="Times New Roman" w:eastAsia="仿宋_GB2312" w:cs="Times New Roman"/>
          <w:b w:val="0"/>
          <w:bCs/>
          <w:spacing w:val="0"/>
          <w:sz w:val="32"/>
          <w:szCs w:val="32"/>
        </w:rPr>
        <w:t>建设单位未加强工程变更控制的(审定数，政策性调整除外)将予以责任追究：</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eastAsia" w:ascii="Times New Roman" w:hAnsi="Times New Roman" w:eastAsia="仿宋_GB2312" w:cs="Times New Roman"/>
          <w:b w:val="0"/>
          <w:bCs/>
          <w:spacing w:val="0"/>
          <w:sz w:val="32"/>
          <w:szCs w:val="32"/>
          <w:lang w:eastAsia="zh-CN"/>
        </w:rPr>
        <w:t>（一）</w:t>
      </w:r>
      <w:r>
        <w:rPr>
          <w:rFonts w:hint="default" w:ascii="Times New Roman" w:hAnsi="Times New Roman" w:eastAsia="仿宋_GB2312" w:cs="Times New Roman"/>
          <w:b w:val="0"/>
          <w:bCs/>
          <w:spacing w:val="0"/>
          <w:sz w:val="32"/>
          <w:szCs w:val="32"/>
        </w:rPr>
        <w:t>累计变更增加额超过合同价10%</w:t>
      </w:r>
      <w:r>
        <w:rPr>
          <w:rFonts w:hint="eastAsia" w:ascii="Times New Roman" w:hAnsi="Times New Roman" w:eastAsia="仿宋_GB2312" w:cs="Times New Roman"/>
          <w:b w:val="0"/>
          <w:bCs/>
          <w:spacing w:val="0"/>
          <w:sz w:val="32"/>
          <w:szCs w:val="32"/>
          <w:lang w:eastAsia="zh-CN"/>
        </w:rPr>
        <w:t>（含）</w:t>
      </w:r>
      <w:r>
        <w:rPr>
          <w:rFonts w:hint="default" w:ascii="Times New Roman" w:hAnsi="Times New Roman" w:eastAsia="仿宋_GB2312" w:cs="Times New Roman"/>
          <w:b w:val="0"/>
          <w:bCs/>
          <w:spacing w:val="0"/>
          <w:sz w:val="32"/>
          <w:szCs w:val="32"/>
        </w:rPr>
        <w:t>以上且累计变更增加额在100万元</w:t>
      </w:r>
      <w:r>
        <w:rPr>
          <w:rFonts w:hint="eastAsia" w:ascii="Times New Roman" w:hAnsi="Times New Roman" w:eastAsia="仿宋_GB2312" w:cs="Times New Roman"/>
          <w:b w:val="0"/>
          <w:bCs/>
          <w:spacing w:val="0"/>
          <w:sz w:val="32"/>
          <w:szCs w:val="32"/>
          <w:lang w:eastAsia="zh-CN"/>
        </w:rPr>
        <w:t>（含）</w:t>
      </w:r>
      <w:r>
        <w:rPr>
          <w:rFonts w:hint="eastAsia" w:ascii="Times New Roman" w:hAnsi="Times New Roman" w:eastAsia="仿宋_GB2312" w:cs="Times New Roman"/>
          <w:b w:val="0"/>
          <w:bCs/>
          <w:spacing w:val="0"/>
          <w:sz w:val="32"/>
          <w:szCs w:val="32"/>
          <w:lang w:val="en-US" w:eastAsia="zh-CN"/>
        </w:rPr>
        <w:t>-</w:t>
      </w:r>
      <w:r>
        <w:rPr>
          <w:rFonts w:hint="default" w:ascii="Times New Roman" w:hAnsi="Times New Roman" w:eastAsia="仿宋_GB2312" w:cs="Times New Roman"/>
          <w:b w:val="0"/>
          <w:bCs/>
          <w:spacing w:val="0"/>
          <w:sz w:val="32"/>
          <w:szCs w:val="32"/>
        </w:rPr>
        <w:t>600万元的，由区分管领导对建设单位的主要领导、分管领导给予诫勉谈话。</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_GB2312" w:cs="Times New Roman"/>
          <w:b w:val="0"/>
          <w:bCs/>
          <w:spacing w:val="0"/>
          <w:sz w:val="32"/>
          <w:szCs w:val="32"/>
        </w:rPr>
      </w:pPr>
      <w:r>
        <w:rPr>
          <w:rFonts w:hint="eastAsia" w:ascii="Times New Roman" w:hAnsi="Times New Roman" w:eastAsia="仿宋_GB2312" w:cs="Times New Roman"/>
          <w:b w:val="0"/>
          <w:bCs/>
          <w:spacing w:val="0"/>
          <w:sz w:val="32"/>
          <w:szCs w:val="32"/>
          <w:lang w:eastAsia="zh-CN"/>
        </w:rPr>
        <w:t>（二）</w:t>
      </w:r>
      <w:r>
        <w:rPr>
          <w:rFonts w:hint="default" w:ascii="Times New Roman" w:hAnsi="Times New Roman" w:eastAsia="仿宋_GB2312" w:cs="Times New Roman"/>
          <w:b w:val="0"/>
          <w:bCs/>
          <w:spacing w:val="0"/>
          <w:sz w:val="32"/>
          <w:szCs w:val="32"/>
        </w:rPr>
        <w:t>累计变更增加额超过合同价10%</w:t>
      </w:r>
      <w:r>
        <w:rPr>
          <w:rFonts w:hint="eastAsia" w:ascii="Times New Roman" w:hAnsi="Times New Roman" w:eastAsia="仿宋_GB2312" w:cs="Times New Roman"/>
          <w:b w:val="0"/>
          <w:bCs/>
          <w:spacing w:val="0"/>
          <w:sz w:val="32"/>
          <w:szCs w:val="32"/>
          <w:lang w:eastAsia="zh-CN"/>
        </w:rPr>
        <w:t>（含）</w:t>
      </w:r>
      <w:r>
        <w:rPr>
          <w:rFonts w:hint="default" w:ascii="Times New Roman" w:hAnsi="Times New Roman" w:eastAsia="仿宋_GB2312" w:cs="Times New Roman"/>
          <w:b w:val="0"/>
          <w:bCs/>
          <w:spacing w:val="0"/>
          <w:sz w:val="32"/>
          <w:szCs w:val="32"/>
        </w:rPr>
        <w:t>以上且累计变更增加额在600万元</w:t>
      </w:r>
      <w:r>
        <w:rPr>
          <w:rFonts w:hint="eastAsia" w:ascii="Times New Roman" w:hAnsi="Times New Roman" w:eastAsia="仿宋_GB2312" w:cs="Times New Roman"/>
          <w:b w:val="0"/>
          <w:bCs/>
          <w:spacing w:val="0"/>
          <w:sz w:val="32"/>
          <w:szCs w:val="32"/>
          <w:lang w:eastAsia="zh-CN"/>
        </w:rPr>
        <w:t>（含）</w:t>
      </w:r>
      <w:r>
        <w:rPr>
          <w:rFonts w:hint="default" w:ascii="Times New Roman" w:hAnsi="Times New Roman" w:eastAsia="仿宋_GB2312" w:cs="Times New Roman"/>
          <w:b w:val="0"/>
          <w:bCs/>
          <w:spacing w:val="0"/>
          <w:sz w:val="32"/>
          <w:szCs w:val="32"/>
        </w:rPr>
        <w:t>以上的，由招投标领导小组对责任单位给予通报批评，主管部门在当年的工作目标考核中作相应扣分。</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left"/>
        <w:textAlignment w:val="baseline"/>
        <w:rPr>
          <w:rFonts w:hint="default" w:ascii="Times New Roman" w:hAnsi="Times New Roman" w:eastAsia="仿宋_GB2312" w:cs="Times New Roman"/>
          <w:b w:val="0"/>
          <w:bCs/>
          <w:spacing w:val="0"/>
          <w:sz w:val="32"/>
          <w:szCs w:val="32"/>
        </w:rPr>
      </w:pPr>
      <w:r>
        <w:rPr>
          <w:rFonts w:hint="eastAsia" w:ascii="Times New Roman" w:hAnsi="Times New Roman" w:eastAsia="仿宋_GB2312" w:cs="Times New Roman"/>
          <w:b w:val="0"/>
          <w:bCs/>
          <w:spacing w:val="0"/>
          <w:sz w:val="32"/>
          <w:szCs w:val="32"/>
          <w:lang w:eastAsia="zh-CN"/>
        </w:rPr>
        <w:t>（三）</w:t>
      </w:r>
      <w:r>
        <w:rPr>
          <w:rFonts w:hint="default" w:ascii="Times New Roman" w:hAnsi="Times New Roman" w:eastAsia="仿宋_GB2312" w:cs="Times New Roman"/>
          <w:b w:val="0"/>
          <w:bCs/>
          <w:spacing w:val="0"/>
          <w:sz w:val="32"/>
          <w:szCs w:val="32"/>
        </w:rPr>
        <w:t>建设过程中的工程变更应报未报</w:t>
      </w:r>
      <w:r>
        <w:rPr>
          <w:rFonts w:hint="default" w:ascii="Times New Roman" w:hAnsi="Times New Roman" w:eastAsia="仿宋_GB2312" w:cs="Times New Roman"/>
          <w:b w:val="0"/>
          <w:bCs/>
          <w:color w:val="auto"/>
          <w:spacing w:val="0"/>
          <w:sz w:val="32"/>
          <w:szCs w:val="32"/>
          <w:highlight w:val="none"/>
          <w:shd w:val="clear" w:color="FFFFFF" w:fill="D9D9D9"/>
        </w:rPr>
        <w:t>、化整为零规避审批、未批准先实施、弄虚作假</w:t>
      </w:r>
      <w:r>
        <w:rPr>
          <w:rFonts w:hint="default" w:ascii="Times New Roman" w:hAnsi="Times New Roman" w:eastAsia="仿宋_GB2312" w:cs="Times New Roman"/>
          <w:b w:val="0"/>
          <w:bCs/>
          <w:spacing w:val="0"/>
          <w:sz w:val="32"/>
          <w:szCs w:val="32"/>
        </w:rPr>
        <w:t>或有其他违反规定行为情节严重的，对相关责任人员移送有关职能部门进行查处。</w:t>
      </w:r>
    </w:p>
    <w:p>
      <w:pPr>
        <w:keepNext w:val="0"/>
        <w:keepLines w:val="0"/>
        <w:pageBreakBefore w:val="0"/>
        <w:wordWrap/>
        <w:overflowPunct/>
        <w:topLinePunct w:val="0"/>
        <w:bidi w:val="0"/>
        <w:spacing w:line="560" w:lineRule="exact"/>
        <w:ind w:left="0" w:right="0" w:firstLine="640" w:firstLineChars="200"/>
        <w:jc w:val="center"/>
        <w:rPr>
          <w:rFonts w:hint="default" w:ascii="Times New Roman" w:hAnsi="Times New Roman" w:eastAsia="黑体" w:cs="Times New Roman"/>
          <w:b w:val="0"/>
          <w:bCs/>
          <w:spacing w:val="0"/>
          <w:sz w:val="32"/>
          <w:szCs w:val="32"/>
        </w:rPr>
      </w:pPr>
      <w:r>
        <w:rPr>
          <w:rFonts w:hint="default" w:ascii="Times New Roman" w:hAnsi="Times New Roman" w:eastAsia="黑体" w:cs="Times New Roman"/>
          <w:b w:val="0"/>
          <w:bCs/>
          <w:spacing w:val="0"/>
          <w:sz w:val="32"/>
          <w:szCs w:val="32"/>
        </w:rPr>
        <w:t>第五章 附则</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_GB2312" w:cs="Times New Roman"/>
          <w:b w:val="0"/>
          <w:bCs/>
          <w:color w:val="000000"/>
          <w:sz w:val="32"/>
          <w:szCs w:val="32"/>
          <w:lang w:val="en-US" w:eastAsia="zh-CN"/>
        </w:rPr>
      </w:pPr>
      <w:r>
        <w:rPr>
          <w:rFonts w:hint="default" w:ascii="Times New Roman" w:hAnsi="Times New Roman" w:eastAsia="黑体" w:cs="Times New Roman"/>
          <w:b w:val="0"/>
          <w:bCs/>
          <w:color w:val="auto"/>
          <w:spacing w:val="0"/>
          <w:sz w:val="32"/>
          <w:szCs w:val="32"/>
          <w:shd w:val="clear" w:color="FFFFFF" w:fill="D9D9D9"/>
        </w:rPr>
        <w:t>第</w:t>
      </w:r>
      <w:r>
        <w:rPr>
          <w:rFonts w:hint="default" w:ascii="Times New Roman" w:hAnsi="Times New Roman" w:eastAsia="黑体" w:cs="Times New Roman"/>
          <w:b w:val="0"/>
          <w:bCs/>
          <w:color w:val="auto"/>
          <w:spacing w:val="0"/>
          <w:sz w:val="32"/>
          <w:szCs w:val="32"/>
          <w:highlight w:val="none"/>
          <w:shd w:val="clear" w:color="FFFFFF" w:fill="D9D9D9"/>
          <w:lang w:val="en-US" w:eastAsia="zh-CN"/>
        </w:rPr>
        <w:t>二十五条</w:t>
      </w:r>
      <w:r>
        <w:rPr>
          <w:rFonts w:hint="default" w:ascii="Times New Roman" w:hAnsi="Times New Roman" w:eastAsia="仿宋_GB2312" w:cs="Times New Roman"/>
          <w:b w:val="0"/>
          <w:bCs/>
          <w:sz w:val="32"/>
          <w:szCs w:val="32"/>
        </w:rPr>
        <w:t> </w:t>
      </w:r>
      <w:r>
        <w:rPr>
          <w:rFonts w:hint="default" w:ascii="Times New Roman" w:hAnsi="Times New Roman" w:eastAsia="仿宋_GB2312" w:cs="Times New Roman"/>
          <w:b w:val="0"/>
          <w:bCs/>
          <w:color w:val="000000"/>
          <w:sz w:val="32"/>
          <w:szCs w:val="32"/>
        </w:rPr>
        <w:t>本办法由区</w:t>
      </w:r>
      <w:r>
        <w:rPr>
          <w:rFonts w:hint="default" w:ascii="Times New Roman" w:hAnsi="Times New Roman" w:eastAsia="仿宋_GB2312" w:cs="Times New Roman"/>
          <w:b w:val="0"/>
          <w:bCs/>
          <w:color w:val="000000"/>
          <w:sz w:val="32"/>
          <w:szCs w:val="32"/>
          <w:lang w:eastAsia="zh-CN"/>
        </w:rPr>
        <w:t>政府</w:t>
      </w:r>
      <w:r>
        <w:rPr>
          <w:rFonts w:hint="default" w:ascii="Times New Roman" w:hAnsi="Times New Roman" w:eastAsia="仿宋_GB2312" w:cs="Times New Roman"/>
          <w:b w:val="0"/>
          <w:bCs/>
          <w:color w:val="000000"/>
          <w:sz w:val="32"/>
          <w:szCs w:val="32"/>
        </w:rPr>
        <w:t>负责解释，自发布之日三十日后施行。溧水区人民</w:t>
      </w:r>
      <w:r>
        <w:rPr>
          <w:rFonts w:hint="eastAsia" w:ascii="Times New Roman" w:hAnsi="Times New Roman" w:eastAsia="仿宋_GB2312" w:cs="Times New Roman"/>
          <w:b w:val="0"/>
          <w:bCs/>
          <w:color w:val="000000"/>
          <w:sz w:val="32"/>
          <w:szCs w:val="32"/>
          <w:lang w:eastAsia="zh-CN"/>
        </w:rPr>
        <w:t>政府</w:t>
      </w:r>
      <w:r>
        <w:rPr>
          <w:rFonts w:hint="default" w:ascii="Times New Roman" w:hAnsi="Times New Roman" w:eastAsia="仿宋_GB2312" w:cs="Times New Roman"/>
          <w:b w:val="0"/>
          <w:bCs/>
          <w:color w:val="000000"/>
          <w:sz w:val="32"/>
          <w:szCs w:val="32"/>
        </w:rPr>
        <w:t>2014年8</w:t>
      </w:r>
      <w:r>
        <w:rPr>
          <w:rFonts w:hint="eastAsia" w:ascii="Times New Roman" w:hAnsi="Times New Roman" w:eastAsia="仿宋_GB2312" w:cs="Times New Roman"/>
          <w:b w:val="0"/>
          <w:bCs/>
          <w:color w:val="000000"/>
          <w:sz w:val="32"/>
          <w:szCs w:val="32"/>
          <w:lang w:eastAsia="zh-CN"/>
        </w:rPr>
        <w:t>月</w:t>
      </w:r>
      <w:r>
        <w:rPr>
          <w:rFonts w:hint="default" w:ascii="Times New Roman" w:hAnsi="Times New Roman" w:eastAsia="仿宋_GB2312" w:cs="Times New Roman"/>
          <w:b w:val="0"/>
          <w:bCs/>
          <w:color w:val="000000"/>
          <w:sz w:val="32"/>
          <w:szCs w:val="32"/>
        </w:rPr>
        <w:t>1日发布的《溧水区政府投资项目标后监督管理暂行办法》（溧政规〔2014〕1 号） 同时废止。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_GB2312" w:cs="Times New Roman"/>
          <w:b w:val="0"/>
          <w:bCs/>
          <w:color w:val="C00000"/>
          <w:sz w:val="32"/>
          <w:szCs w:val="32"/>
          <w:lang w:val="en-US" w:eastAsia="zh-CN"/>
        </w:rPr>
      </w:pPr>
    </w:p>
    <w:p>
      <w:pPr>
        <w:keepNext w:val="0"/>
        <w:keepLines w:val="0"/>
        <w:pageBreakBefore w:val="0"/>
        <w:wordWrap/>
        <w:overflowPunct/>
        <w:topLinePunct w:val="0"/>
        <w:bidi w:val="0"/>
        <w:spacing w:line="560" w:lineRule="exact"/>
        <w:ind w:left="0" w:right="0" w:firstLine="788" w:firstLineChars="200"/>
        <w:jc w:val="both"/>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right="0"/>
        <w:rPr>
          <w:rFonts w:hint="default" w:ascii="Times New Roman" w:hAnsi="Times New Roman" w:cs="Times New Roman"/>
          <w:b w:val="0"/>
          <w:bCs/>
        </w:rPr>
      </w:pPr>
    </w:p>
    <w:p>
      <w:pPr>
        <w:pStyle w:val="4"/>
        <w:spacing w:before="208"/>
        <w:ind w:left="8" w:leftChars="0" w:firstLine="217" w:firstLineChars="68"/>
        <w:rPr>
          <w:b w:val="0"/>
          <w:bCs/>
          <w:sz w:val="20"/>
        </w:rPr>
      </w:pPr>
      <w:r>
        <w:rPr>
          <w:b w:val="0"/>
          <w:bCs/>
        </w:rPr>
        <w:t>附件：</w:t>
      </w:r>
    </w:p>
    <w:p>
      <w:pPr>
        <w:pStyle w:val="4"/>
        <w:ind w:left="8" w:leftChars="0" w:firstLine="190" w:firstLineChars="68"/>
        <w:rPr>
          <w:b w:val="0"/>
          <w:bCs/>
          <w:sz w:val="28"/>
        </w:rPr>
      </w:pPr>
    </w:p>
    <w:p>
      <w:pPr>
        <w:pStyle w:val="4"/>
        <w:spacing w:before="55" w:line="513" w:lineRule="auto"/>
        <w:ind w:left="8" w:leftChars="0" w:right="-64" w:rightChars="0" w:firstLine="225" w:firstLineChars="68"/>
        <w:jc w:val="center"/>
        <w:rPr>
          <w:b w:val="0"/>
          <w:bCs/>
          <w:spacing w:val="6"/>
          <w:highlight w:val="none"/>
        </w:rPr>
      </w:pPr>
      <w:r>
        <w:rPr>
          <w:rFonts w:hint="eastAsia"/>
          <w:b w:val="0"/>
          <w:bCs/>
          <w:spacing w:val="6"/>
          <w:lang w:val="en-US" w:eastAsia="zh-CN"/>
        </w:rPr>
        <w:t xml:space="preserve"> </w:t>
      </w:r>
      <w:r>
        <w:rPr>
          <w:b w:val="0"/>
          <w:bCs/>
          <w:spacing w:val="6"/>
        </w:rPr>
        <w:t xml:space="preserve">溧 水  区  国  有  投  资  </w:t>
      </w:r>
      <w:r>
        <w:rPr>
          <w:rFonts w:hint="eastAsia"/>
          <w:b w:val="0"/>
          <w:bCs/>
          <w:spacing w:val="6"/>
          <w:lang w:eastAsia="zh-CN"/>
        </w:rPr>
        <w:t>项</w:t>
      </w:r>
      <w:r>
        <w:rPr>
          <w:rFonts w:hint="eastAsia"/>
          <w:b w:val="0"/>
          <w:bCs/>
          <w:spacing w:val="6"/>
          <w:lang w:val="en-US" w:eastAsia="zh-CN"/>
        </w:rPr>
        <w:t xml:space="preserve">  </w:t>
      </w:r>
      <w:r>
        <w:rPr>
          <w:b w:val="0"/>
          <w:bCs/>
          <w:spacing w:val="6"/>
          <w:highlight w:val="none"/>
        </w:rPr>
        <w:t>目</w:t>
      </w:r>
    </w:p>
    <w:p>
      <w:pPr>
        <w:pStyle w:val="4"/>
        <w:spacing w:before="55" w:line="513" w:lineRule="auto"/>
        <w:ind w:right="-64" w:rightChars="0" w:firstLine="4480" w:firstLineChars="1400"/>
        <w:jc w:val="both"/>
        <w:rPr>
          <w:b w:val="0"/>
          <w:bCs/>
        </w:rPr>
      </w:pPr>
      <w:r>
        <w:rPr>
          <w:b w:val="0"/>
          <w:bCs/>
          <w:highlight w:val="none"/>
        </w:rPr>
        <w:t>变</w:t>
      </w:r>
    </w:p>
    <w:p>
      <w:pPr>
        <w:pStyle w:val="4"/>
        <w:spacing w:before="4" w:line="516" w:lineRule="auto"/>
        <w:ind w:left="4519" w:leftChars="2152" w:right="4471" w:firstLine="0" w:firstLineChars="0"/>
        <w:jc w:val="both"/>
        <w:rPr>
          <w:b w:val="0"/>
          <w:bCs/>
        </w:rPr>
      </w:pPr>
      <w:r>
        <w:rPr>
          <w:b w:val="0"/>
          <w:bCs/>
        </w:rPr>
        <w:t>更方案报告</w:t>
      </w:r>
    </w:p>
    <w:p>
      <w:pPr>
        <w:pStyle w:val="4"/>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rPr>
          <w:b w:val="0"/>
          <w:bCs/>
        </w:rPr>
      </w:pPr>
      <w:r>
        <w:rPr>
          <w:b w:val="0"/>
          <w:bCs/>
        </w:rPr>
        <w:t>工程</w:t>
      </w:r>
      <w:r>
        <w:rPr>
          <w:rFonts w:hint="eastAsia"/>
          <w:b w:val="0"/>
          <w:bCs/>
          <w:lang w:eastAsia="zh-CN"/>
        </w:rPr>
        <w:t>名</w:t>
      </w:r>
      <w:r>
        <w:rPr>
          <w:b w:val="0"/>
          <w:bCs/>
        </w:rPr>
        <w:t xml:space="preserve">称： </w:t>
      </w:r>
    </w:p>
    <w:p>
      <w:pPr>
        <w:pStyle w:val="4"/>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rPr>
          <w:b w:val="0"/>
          <w:bCs/>
        </w:rPr>
      </w:pPr>
      <w:r>
        <w:rPr>
          <w:b w:val="0"/>
          <w:bCs/>
        </w:rPr>
        <w:t xml:space="preserve">变更项目： </w:t>
      </w:r>
    </w:p>
    <w:p>
      <w:pPr>
        <w:pStyle w:val="4"/>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rPr>
          <w:b w:val="0"/>
          <w:bCs/>
        </w:rPr>
      </w:pPr>
      <w:r>
        <w:rPr>
          <w:b w:val="0"/>
          <w:bCs/>
        </w:rPr>
        <w:t xml:space="preserve">施工单位： </w:t>
      </w:r>
    </w:p>
    <w:p>
      <w:pPr>
        <w:pStyle w:val="4"/>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rPr>
          <w:b w:val="0"/>
          <w:bCs/>
        </w:rPr>
      </w:pPr>
      <w:r>
        <w:rPr>
          <w:b w:val="0"/>
          <w:bCs/>
        </w:rPr>
        <w:t xml:space="preserve">建设单位： </w:t>
      </w:r>
    </w:p>
    <w:p>
      <w:pPr>
        <w:pStyle w:val="4"/>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rPr>
          <w:b w:val="0"/>
          <w:bCs/>
        </w:rPr>
      </w:pPr>
      <w:r>
        <w:rPr>
          <w:b w:val="0"/>
          <w:bCs/>
        </w:rPr>
        <w:t>主管部门：</w:t>
      </w:r>
    </w:p>
    <w:p>
      <w:pPr>
        <w:pStyle w:val="4"/>
        <w:ind w:left="8" w:leftChars="0" w:firstLine="217" w:firstLineChars="68"/>
        <w:rPr>
          <w:b w:val="0"/>
          <w:bCs/>
        </w:rPr>
      </w:pPr>
    </w:p>
    <w:p>
      <w:pPr>
        <w:pStyle w:val="4"/>
        <w:ind w:left="8" w:leftChars="0" w:firstLine="217" w:firstLineChars="68"/>
        <w:rPr>
          <w:b w:val="0"/>
          <w:bCs/>
        </w:rPr>
      </w:pPr>
    </w:p>
    <w:p>
      <w:pPr>
        <w:pStyle w:val="4"/>
        <w:spacing w:before="9"/>
        <w:ind w:left="8" w:leftChars="0" w:firstLine="224" w:firstLineChars="68"/>
        <w:rPr>
          <w:b w:val="0"/>
          <w:bCs/>
          <w:sz w:val="33"/>
        </w:rPr>
      </w:pPr>
    </w:p>
    <w:p>
      <w:pPr>
        <w:pStyle w:val="4"/>
        <w:tabs>
          <w:tab w:val="left" w:pos="1281"/>
          <w:tab w:val="left" w:pos="1919"/>
          <w:tab w:val="left" w:pos="2560"/>
        </w:tabs>
        <w:ind w:left="8" w:leftChars="0" w:right="40" w:firstLine="217" w:firstLineChars="68"/>
        <w:jc w:val="center"/>
        <w:rPr>
          <w:rFonts w:hint="eastAsia" w:eastAsia="仿宋"/>
          <w:b w:val="0"/>
          <w:bCs/>
          <w:lang w:val="en-US" w:eastAsia="zh-CN"/>
        </w:rPr>
        <w:sectPr>
          <w:footerReference r:id="rId3" w:type="default"/>
          <w:pgSz w:w="11910" w:h="16840"/>
          <w:pgMar w:top="1701" w:right="1587" w:bottom="1701" w:left="1587" w:header="0" w:footer="1116" w:gutter="0"/>
          <w:pgBorders>
            <w:top w:val="none" w:sz="0" w:space="0"/>
            <w:left w:val="none" w:sz="0" w:space="0"/>
            <w:bottom w:val="none" w:sz="0" w:space="0"/>
            <w:right w:val="none" w:sz="0" w:space="0"/>
          </w:pgBorders>
          <w:pgNumType w:fmt="numberInDash"/>
          <w:cols w:space="720" w:num="1"/>
          <w:rtlGutter w:val="0"/>
          <w:docGrid w:linePitch="0" w:charSpace="0"/>
        </w:sectPr>
      </w:pPr>
      <w:r>
        <w:rPr>
          <w:b w:val="0"/>
          <w:bCs/>
        </w:rPr>
        <w:t>二</w:t>
      </w:r>
      <w:r>
        <w:rPr>
          <w:b w:val="0"/>
          <w:bCs/>
          <w:spacing w:val="-80"/>
        </w:rPr>
        <w:t xml:space="preserve"> </w:t>
      </w:r>
      <w:r>
        <w:rPr>
          <w:b w:val="0"/>
          <w:bCs/>
        </w:rPr>
        <w:t>0</w:t>
      </w:r>
      <w:r>
        <w:rPr>
          <w:b w:val="0"/>
          <w:bCs/>
          <w:spacing w:val="-81"/>
        </w:rPr>
        <w:t xml:space="preserve"> </w:t>
      </w:r>
      <w:r>
        <w:rPr>
          <w:b w:val="0"/>
          <w:bCs/>
        </w:rPr>
        <w:t>一</w:t>
      </w:r>
      <w:r>
        <w:rPr>
          <w:b w:val="0"/>
          <w:bCs/>
          <w:u w:val="single"/>
        </w:rPr>
        <w:t xml:space="preserve"> </w:t>
      </w:r>
      <w:r>
        <w:rPr>
          <w:b w:val="0"/>
          <w:bCs/>
          <w:u w:val="single"/>
        </w:rPr>
        <w:tab/>
      </w:r>
      <w:r>
        <w:rPr>
          <w:b w:val="0"/>
          <w:bCs/>
        </w:rPr>
        <w:t>年</w:t>
      </w:r>
      <w:r>
        <w:rPr>
          <w:b w:val="0"/>
          <w:bCs/>
          <w:u w:val="single"/>
        </w:rPr>
        <w:t xml:space="preserve"> </w:t>
      </w:r>
      <w:r>
        <w:rPr>
          <w:b w:val="0"/>
          <w:bCs/>
          <w:u w:val="single"/>
        </w:rPr>
        <w:tab/>
      </w:r>
      <w:r>
        <w:rPr>
          <w:b w:val="0"/>
          <w:bCs/>
        </w:rPr>
        <w:t>月</w:t>
      </w:r>
      <w:r>
        <w:rPr>
          <w:b w:val="0"/>
          <w:bCs/>
          <w:u w:val="single"/>
        </w:rPr>
        <w:t xml:space="preserve"> </w:t>
      </w:r>
      <w:r>
        <w:rPr>
          <w:b w:val="0"/>
          <w:bCs/>
          <w:u w:val="single"/>
        </w:rPr>
        <w:tab/>
      </w:r>
      <w:r>
        <w:rPr>
          <w:rFonts w:hint="eastAsia"/>
          <w:b w:val="0"/>
          <w:bCs/>
          <w:u w:val="single"/>
          <w:lang w:eastAsia="zh-CN"/>
        </w:rPr>
        <w:t>日</w:t>
      </w:r>
    </w:p>
    <w:p>
      <w:pPr>
        <w:keepNext w:val="0"/>
        <w:keepLines w:val="0"/>
        <w:pageBreakBefore w:val="0"/>
        <w:wordWrap/>
        <w:overflowPunct/>
        <w:topLinePunct w:val="0"/>
        <w:bidi w:val="0"/>
        <w:spacing w:line="560" w:lineRule="exact"/>
        <w:ind w:left="0" w:right="0" w:firstLine="640" w:firstLineChars="200"/>
        <w:jc w:val="both"/>
        <w:rPr>
          <w:rFonts w:hint="default" w:ascii="Times New Roman" w:hAnsi="Times New Roman" w:eastAsia="仿宋_GB2312" w:cs="Times New Roman"/>
          <w:b w:val="0"/>
          <w:bCs/>
          <w:color w:val="auto"/>
          <w:spacing w:val="0"/>
          <w:sz w:val="32"/>
          <w:szCs w:val="32"/>
          <w:highlight w:val="none"/>
          <w:shd w:val="clear" w:color="FFFFFF" w:fill="D9D9D9"/>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（一）</w:t>
      </w:r>
      <w:r>
        <w:rPr>
          <w:rFonts w:hint="default" w:ascii="Times New Roman" w:hAnsi="Times New Roman" w:eastAsia="仿宋_GB2312" w:cs="Times New Roman"/>
          <w:b w:val="0"/>
          <w:bCs/>
          <w:color w:val="auto"/>
          <w:spacing w:val="0"/>
          <w:sz w:val="32"/>
          <w:szCs w:val="32"/>
          <w:highlight w:val="none"/>
          <w:shd w:val="clear" w:color="FFFFFF" w:fill="D9D9D9"/>
        </w:rPr>
        <w:t>建设单位工程变更申请（附工程变更情况详细说明，包括：项目概况、变更原因、内容、范围、金额、所做工作、责任划分、拟处理措施、遵循变更原则说明、不另行招标理由说明、变更开展绩效管理情况、该项目总体变更情况，是否超批文投资分析等</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r>
        <w:rPr>
          <w:rFonts w:hint="default" w:ascii="Times New Roman" w:hAnsi="Times New Roman" w:eastAsia="仿宋_GB2312" w:cs="Times New Roman"/>
          <w:b w:val="0"/>
          <w:bCs/>
          <w:color w:val="auto"/>
          <w:spacing w:val="0"/>
          <w:sz w:val="32"/>
          <w:szCs w:val="32"/>
          <w:highlight w:val="none"/>
          <w:shd w:val="clear" w:color="FFFFFF" w:fill="D9D9D9"/>
        </w:rPr>
        <w:t xml:space="preserve">； </w:t>
      </w:r>
    </w:p>
    <w:p>
      <w:pPr>
        <w:keepNext w:val="0"/>
        <w:keepLines w:val="0"/>
        <w:pageBreakBefore w:val="0"/>
        <w:wordWrap/>
        <w:overflowPunct/>
        <w:topLinePunct w:val="0"/>
        <w:bidi w:val="0"/>
        <w:spacing w:line="560" w:lineRule="exact"/>
        <w:ind w:left="0" w:right="0" w:firstLine="640" w:firstLineChars="200"/>
        <w:jc w:val="both"/>
        <w:rPr>
          <w:rFonts w:hint="default" w:ascii="Times New Roman" w:hAnsi="Times New Roman" w:eastAsia="仿宋_GB2312" w:cs="Times New Roman"/>
          <w:b w:val="0"/>
          <w:bCs/>
          <w:color w:val="auto"/>
          <w:spacing w:val="0"/>
          <w:sz w:val="32"/>
          <w:szCs w:val="32"/>
          <w:highlight w:val="none"/>
          <w:shd w:val="clear" w:color="FFFFFF" w:fill="D9D9D9"/>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（二）</w:t>
      </w:r>
      <w:r>
        <w:rPr>
          <w:rFonts w:hint="default" w:ascii="Times New Roman" w:hAnsi="Times New Roman" w:eastAsia="仿宋_GB2312" w:cs="Times New Roman"/>
          <w:b w:val="0"/>
          <w:bCs/>
          <w:color w:val="auto"/>
          <w:spacing w:val="0"/>
          <w:sz w:val="32"/>
          <w:szCs w:val="32"/>
          <w:highlight w:val="none"/>
          <w:shd w:val="clear" w:color="FFFFFF" w:fill="D9D9D9"/>
        </w:rPr>
        <w:t>附表1《工程变更报审表》;</w:t>
      </w:r>
    </w:p>
    <w:p>
      <w:pPr>
        <w:keepNext w:val="0"/>
        <w:keepLines w:val="0"/>
        <w:pageBreakBefore w:val="0"/>
        <w:wordWrap/>
        <w:overflowPunct/>
        <w:topLinePunct w:val="0"/>
        <w:bidi w:val="0"/>
        <w:spacing w:line="560" w:lineRule="exact"/>
        <w:ind w:left="0" w:right="0" w:firstLine="640" w:firstLineChars="200"/>
        <w:jc w:val="both"/>
        <w:rPr>
          <w:rFonts w:hint="default" w:ascii="Times New Roman" w:hAnsi="Times New Roman" w:eastAsia="仿宋_GB2312" w:cs="Times New Roman"/>
          <w:b w:val="0"/>
          <w:bCs/>
          <w:color w:val="auto"/>
          <w:spacing w:val="0"/>
          <w:sz w:val="32"/>
          <w:szCs w:val="32"/>
          <w:highlight w:val="none"/>
          <w:shd w:val="clear" w:color="FFFFFF" w:fill="D9D9D9"/>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（三）</w:t>
      </w:r>
      <w:r>
        <w:rPr>
          <w:rFonts w:hint="default" w:ascii="Times New Roman" w:hAnsi="Times New Roman" w:eastAsia="仿宋_GB2312" w:cs="Times New Roman"/>
          <w:b w:val="0"/>
          <w:bCs/>
          <w:color w:val="auto"/>
          <w:spacing w:val="0"/>
          <w:sz w:val="32"/>
          <w:szCs w:val="32"/>
          <w:highlight w:val="none"/>
          <w:shd w:val="clear" w:color="FFFFFF" w:fill="D9D9D9"/>
        </w:rPr>
        <w:t>附表2《变更责任审查表》;</w:t>
      </w:r>
    </w:p>
    <w:p>
      <w:pPr>
        <w:keepNext w:val="0"/>
        <w:keepLines w:val="0"/>
        <w:pageBreakBefore w:val="0"/>
        <w:wordWrap/>
        <w:overflowPunct/>
        <w:topLinePunct w:val="0"/>
        <w:bidi w:val="0"/>
        <w:spacing w:line="560" w:lineRule="exact"/>
        <w:ind w:left="0" w:right="0" w:firstLine="640" w:firstLineChars="200"/>
        <w:jc w:val="both"/>
        <w:rPr>
          <w:rFonts w:hint="default" w:ascii="Times New Roman" w:hAnsi="Times New Roman" w:eastAsia="仿宋_GB2312" w:cs="Times New Roman"/>
          <w:b w:val="0"/>
          <w:bCs/>
          <w:color w:val="auto"/>
          <w:spacing w:val="0"/>
          <w:sz w:val="32"/>
          <w:szCs w:val="32"/>
          <w:highlight w:val="none"/>
          <w:shd w:val="clear" w:color="FFFFFF" w:fill="D9D9D9"/>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（四）</w:t>
      </w:r>
      <w:r>
        <w:rPr>
          <w:rFonts w:hint="default" w:ascii="Times New Roman" w:hAnsi="Times New Roman" w:eastAsia="仿宋_GB2312" w:cs="Times New Roman"/>
          <w:b w:val="0"/>
          <w:bCs/>
          <w:color w:val="auto"/>
          <w:spacing w:val="0"/>
          <w:sz w:val="32"/>
          <w:szCs w:val="32"/>
          <w:highlight w:val="none"/>
          <w:shd w:val="clear" w:color="FFFFFF" w:fill="D9D9D9"/>
        </w:rPr>
        <w:t>立项及初步设计批复文件；</w:t>
      </w:r>
    </w:p>
    <w:p>
      <w:pPr>
        <w:keepNext w:val="0"/>
        <w:keepLines w:val="0"/>
        <w:pageBreakBefore w:val="0"/>
        <w:wordWrap/>
        <w:overflowPunct/>
        <w:topLinePunct w:val="0"/>
        <w:bidi w:val="0"/>
        <w:spacing w:line="560" w:lineRule="exact"/>
        <w:ind w:left="0" w:right="0" w:firstLine="640" w:firstLineChars="200"/>
        <w:jc w:val="both"/>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（五）</w:t>
      </w:r>
      <w:r>
        <w:rPr>
          <w:rFonts w:hint="default" w:ascii="Times New Roman" w:hAnsi="Times New Roman" w:eastAsia="仿宋_GB2312" w:cs="Times New Roman"/>
          <w:b w:val="0"/>
          <w:bCs/>
          <w:color w:val="auto"/>
          <w:spacing w:val="0"/>
          <w:sz w:val="32"/>
          <w:szCs w:val="32"/>
          <w:highlight w:val="none"/>
          <w:shd w:val="clear" w:color="FFFFFF" w:fill="D9D9D9"/>
        </w:rPr>
        <w:t>施工单位造价人员编制的项目变更预算书、工程量计算书及跟踪审计、监理单位意见书</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ordWrap/>
        <w:overflowPunct/>
        <w:topLinePunct w:val="0"/>
        <w:bidi w:val="0"/>
        <w:spacing w:line="560" w:lineRule="exact"/>
        <w:ind w:left="0" w:right="0" w:firstLine="640" w:firstLineChars="200"/>
        <w:jc w:val="both"/>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default" w:ascii="Times New Roman" w:hAnsi="Times New Roman" w:eastAsia="仿宋_GB2312" w:cs="Times New Roman"/>
          <w:b w:val="0"/>
          <w:bCs/>
          <w:color w:val="auto"/>
          <w:spacing w:val="0"/>
          <w:sz w:val="32"/>
          <w:szCs w:val="32"/>
          <w:highlight w:val="none"/>
          <w:shd w:val="clear" w:color="FFFFFF" w:fill="D9D9D9"/>
        </w:rPr>
        <w:t>（六）工程洽商单、技术核定单、联系单、设计变更单、图纸会审记录、施工方案、现场照片等相关工程资料</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ordWrap/>
        <w:overflowPunct/>
        <w:topLinePunct w:val="0"/>
        <w:bidi w:val="0"/>
        <w:spacing w:line="560" w:lineRule="exact"/>
        <w:ind w:left="0" w:right="0" w:firstLine="640" w:firstLineChars="200"/>
        <w:jc w:val="both"/>
        <w:rPr>
          <w:rFonts w:hint="eastAsia" w:ascii="Times New Roman" w:hAnsi="Times New Roman" w:eastAsia="仿宋_GB2312" w:cs="Times New Roman"/>
          <w:b w:val="0"/>
          <w:bCs/>
          <w:color w:val="auto"/>
          <w:spacing w:val="0"/>
          <w:sz w:val="32"/>
          <w:szCs w:val="32"/>
          <w:highlight w:val="none"/>
          <w:shd w:val="clear" w:color="FFFFFF" w:fill="D9D9D9"/>
          <w:lang w:eastAsia="zh-CN"/>
        </w:rPr>
      </w:pPr>
      <w:r>
        <w:rPr>
          <w:rFonts w:hint="default" w:ascii="Times New Roman" w:hAnsi="Times New Roman" w:eastAsia="仿宋_GB2312" w:cs="Times New Roman"/>
          <w:b w:val="0"/>
          <w:bCs/>
          <w:color w:val="auto"/>
          <w:spacing w:val="0"/>
          <w:sz w:val="32"/>
          <w:szCs w:val="32"/>
          <w:highlight w:val="none"/>
          <w:shd w:val="clear" w:color="FFFFFF" w:fill="D9D9D9"/>
        </w:rPr>
        <w:t>（七）区绩效办按规定进行监督意见；单项工程变更金额</w:t>
      </w:r>
      <w:bookmarkStart w:id="0" w:name="_GoBack"/>
      <w:r>
        <w:rPr>
          <w:rFonts w:hint="eastAsia" w:ascii="Times New Roman" w:hAnsi="Times New Roman" w:eastAsia="仿宋_GB2312" w:cs="Times New Roman"/>
          <w:b w:val="0"/>
          <w:bCs/>
          <w:color w:val="auto"/>
          <w:spacing w:val="0"/>
          <w:sz w:val="32"/>
          <w:szCs w:val="32"/>
          <w:highlight w:val="none"/>
          <w:shd w:val="clear" w:color="FFFFFF" w:fill="D9D9D9"/>
          <w:lang w:val="en-US" w:eastAsia="zh-CN"/>
        </w:rPr>
        <w:t>300</w:t>
      </w:r>
      <w:r>
        <w:rPr>
          <w:rFonts w:hint="default" w:ascii="Times New Roman" w:hAnsi="Times New Roman" w:eastAsia="仿宋_GB2312" w:cs="Times New Roman"/>
          <w:b w:val="0"/>
          <w:bCs/>
          <w:color w:val="auto"/>
          <w:spacing w:val="0"/>
          <w:sz w:val="32"/>
          <w:szCs w:val="32"/>
          <w:highlight w:val="none"/>
          <w:shd w:val="clear" w:color="FFFFFF" w:fill="D9D9D9"/>
        </w:rPr>
        <w:t>万元</w:t>
      </w:r>
      <w:bookmarkEnd w:id="0"/>
      <w:r>
        <w:rPr>
          <w:rFonts w:hint="default" w:ascii="Times New Roman" w:hAnsi="Times New Roman" w:eastAsia="仿宋_GB2312" w:cs="Times New Roman"/>
          <w:b w:val="0"/>
          <w:bCs/>
          <w:color w:val="auto"/>
          <w:spacing w:val="0"/>
          <w:sz w:val="32"/>
          <w:szCs w:val="32"/>
          <w:highlight w:val="none"/>
          <w:shd w:val="clear" w:color="FFFFFF" w:fill="D9D9D9"/>
        </w:rPr>
        <w:t>以上，附专咨办意见；需要依法履行行业主管部门手续的（含施工方案重大变更），附办理的手续</w:t>
      </w:r>
      <w:r>
        <w:rPr>
          <w:rFonts w:hint="eastAsia" w:ascii="Times New Roman" w:hAnsi="Times New Roman" w:eastAsia="仿宋_GB2312" w:cs="Times New Roman"/>
          <w:b w:val="0"/>
          <w:bCs/>
          <w:color w:val="auto"/>
          <w:spacing w:val="0"/>
          <w:sz w:val="32"/>
          <w:szCs w:val="32"/>
          <w:highlight w:val="none"/>
          <w:shd w:val="clear" w:color="FFFFFF" w:fill="D9D9D9"/>
          <w:lang w:eastAsia="zh-CN"/>
        </w:rPr>
        <w:t>；</w:t>
      </w:r>
    </w:p>
    <w:p>
      <w:pPr>
        <w:keepNext w:val="0"/>
        <w:keepLines w:val="0"/>
        <w:pageBreakBefore w:val="0"/>
        <w:wordWrap/>
        <w:overflowPunct/>
        <w:topLinePunct w:val="0"/>
        <w:bidi w:val="0"/>
        <w:spacing w:line="560" w:lineRule="exact"/>
        <w:ind w:left="0" w:right="0" w:firstLine="640" w:firstLineChars="200"/>
        <w:jc w:val="both"/>
        <w:rPr>
          <w:rFonts w:hint="default" w:ascii="Times New Roman" w:hAnsi="Times New Roman" w:eastAsia="仿宋_GB2312" w:cs="Times New Roman"/>
          <w:b w:val="0"/>
          <w:bCs/>
          <w:color w:val="auto"/>
          <w:spacing w:val="0"/>
          <w:sz w:val="32"/>
          <w:szCs w:val="32"/>
          <w:shd w:val="clear" w:color="FFFFFF" w:fill="D9D9D9"/>
        </w:rPr>
      </w:pPr>
      <w:r>
        <w:rPr>
          <w:rFonts w:hint="eastAsia" w:ascii="Times New Roman" w:hAnsi="Times New Roman" w:eastAsia="仿宋_GB2312" w:cs="Times New Roman"/>
          <w:b w:val="0"/>
          <w:bCs/>
          <w:color w:val="auto"/>
          <w:spacing w:val="0"/>
          <w:sz w:val="32"/>
          <w:szCs w:val="32"/>
          <w:highlight w:val="none"/>
          <w:shd w:val="clear" w:color="FFFFFF" w:fill="D9D9D9"/>
          <w:lang w:eastAsia="zh-CN"/>
        </w:rPr>
        <w:t>（八）</w:t>
      </w:r>
      <w:r>
        <w:rPr>
          <w:rFonts w:hint="default" w:ascii="Times New Roman" w:hAnsi="Times New Roman" w:eastAsia="仿宋_GB2312" w:cs="Times New Roman"/>
          <w:b w:val="0"/>
          <w:bCs/>
          <w:color w:val="auto"/>
          <w:spacing w:val="0"/>
          <w:sz w:val="32"/>
          <w:szCs w:val="32"/>
          <w:highlight w:val="none"/>
          <w:shd w:val="clear" w:color="FFFFFF" w:fill="D9D9D9"/>
        </w:rPr>
        <w:t>其他应当提交的相关佐证资料。</w:t>
      </w:r>
    </w:p>
    <w:p>
      <w:pPr>
        <w:keepNext w:val="0"/>
        <w:keepLines w:val="0"/>
        <w:pageBreakBefore w:val="0"/>
        <w:wordWrap/>
        <w:overflowPunct/>
        <w:topLinePunct w:val="0"/>
        <w:bidi w:val="0"/>
        <w:spacing w:line="560" w:lineRule="exact"/>
        <w:ind w:left="0" w:right="0" w:firstLine="788" w:firstLineChars="200"/>
        <w:jc w:val="both"/>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jc w:val="both"/>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pStyle w:val="2"/>
        <w:keepNext w:val="0"/>
        <w:keepLines w:val="0"/>
        <w:pageBreakBefore w:val="0"/>
        <w:wordWrap/>
        <w:overflowPunct/>
        <w:topLinePunct w:val="0"/>
        <w:bidi w:val="0"/>
        <w:spacing w:beforeLines="0" w:afterLines="0"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left="0" w:right="0" w:firstLine="788" w:firstLineChars="200"/>
        <w:rPr>
          <w:rFonts w:hint="default" w:ascii="Times New Roman" w:hAnsi="Times New Roman" w:eastAsia="仿宋_GB2312" w:cs="Times New Roman"/>
          <w:b w:val="0"/>
          <w:bCs/>
          <w:spacing w:val="37"/>
          <w:sz w:val="32"/>
          <w:szCs w:val="32"/>
        </w:rPr>
      </w:pPr>
    </w:p>
    <w:p>
      <w:pPr>
        <w:keepNext w:val="0"/>
        <w:keepLines w:val="0"/>
        <w:pageBreakBefore w:val="0"/>
        <w:wordWrap/>
        <w:overflowPunct/>
        <w:topLinePunct w:val="0"/>
        <w:bidi w:val="0"/>
        <w:spacing w:line="560" w:lineRule="exact"/>
        <w:ind w:right="0"/>
        <w:jc w:val="both"/>
        <w:rPr>
          <w:rFonts w:hint="default" w:ascii="Times New Roman" w:hAnsi="Times New Roman" w:eastAsia="仿宋_GB2312" w:cs="Times New Roman"/>
          <w:b w:val="0"/>
          <w:bCs/>
          <w:spacing w:val="37"/>
          <w:sz w:val="32"/>
          <w:szCs w:val="32"/>
        </w:rPr>
      </w:pPr>
    </w:p>
    <w:p>
      <w:pPr>
        <w:pStyle w:val="2"/>
        <w:rPr>
          <w:rFonts w:hint="default"/>
          <w:b w:val="0"/>
          <w:bCs/>
        </w:rPr>
      </w:pPr>
    </w:p>
    <w:p>
      <w:pPr>
        <w:pStyle w:val="4"/>
        <w:spacing w:before="55"/>
        <w:ind w:left="228"/>
        <w:rPr>
          <w:b w:val="0"/>
          <w:bCs/>
        </w:rPr>
      </w:pPr>
      <w:r>
        <w:rPr>
          <w:b w:val="0"/>
          <w:bCs/>
        </w:rPr>
        <w:t>附表 1：</w:t>
      </w:r>
    </w:p>
    <w:p>
      <w:pPr>
        <w:pStyle w:val="4"/>
        <w:spacing w:before="214"/>
        <w:ind w:right="37"/>
        <w:jc w:val="center"/>
        <w:rPr>
          <w:rFonts w:hint="eastAsia" w:ascii="宋体" w:eastAsia="宋体"/>
          <w:b w:val="0"/>
          <w:bCs/>
        </w:rPr>
      </w:pPr>
      <w:r>
        <w:rPr>
          <w:rFonts w:hint="eastAsia" w:ascii="宋体" w:eastAsia="宋体"/>
          <w:b w:val="0"/>
          <w:bCs/>
          <w:color w:val="111111"/>
        </w:rPr>
        <w:t>工程变更报审表</w:t>
      </w:r>
    </w:p>
    <w:p>
      <w:pPr>
        <w:pStyle w:val="4"/>
        <w:spacing w:before="2"/>
        <w:rPr>
          <w:rFonts w:ascii="宋体"/>
          <w:b w:val="0"/>
          <w:bCs/>
          <w:sz w:val="8"/>
        </w:rPr>
      </w:pPr>
    </w:p>
    <w:tbl>
      <w:tblPr>
        <w:tblStyle w:val="8"/>
        <w:tblW w:w="0" w:type="auto"/>
        <w:tblInd w:w="15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29"/>
        <w:gridCol w:w="1114"/>
        <w:gridCol w:w="1386"/>
        <w:gridCol w:w="418"/>
        <w:gridCol w:w="1280"/>
        <w:gridCol w:w="195"/>
        <w:gridCol w:w="888"/>
        <w:gridCol w:w="208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2" w:hRule="atLeast"/>
        </w:trPr>
        <w:tc>
          <w:tcPr>
            <w:tcW w:w="1529" w:type="dxa"/>
            <w:noWrap w:val="0"/>
            <w:vAlign w:val="top"/>
          </w:tcPr>
          <w:p>
            <w:pPr>
              <w:pStyle w:val="15"/>
              <w:spacing w:before="118"/>
              <w:ind w:right="144"/>
              <w:jc w:val="right"/>
              <w:rPr>
                <w:b w:val="0"/>
                <w:bCs/>
                <w:sz w:val="24"/>
              </w:rPr>
            </w:pPr>
            <w:r>
              <w:rPr>
                <w:b w:val="0"/>
                <w:bCs/>
                <w:sz w:val="24"/>
              </w:rPr>
              <w:t>工程名称</w:t>
            </w:r>
          </w:p>
        </w:tc>
        <w:tc>
          <w:tcPr>
            <w:tcW w:w="2918" w:type="dxa"/>
            <w:gridSpan w:val="3"/>
            <w:noWrap w:val="0"/>
            <w:vAlign w:val="top"/>
          </w:tcPr>
          <w:p>
            <w:pPr>
              <w:pStyle w:val="15"/>
              <w:rPr>
                <w:rFonts w:ascii="Times New Roman"/>
                <w:b w:val="0"/>
                <w:bCs/>
                <w:sz w:val="22"/>
              </w:rPr>
            </w:pPr>
          </w:p>
        </w:tc>
        <w:tc>
          <w:tcPr>
            <w:tcW w:w="2363" w:type="dxa"/>
            <w:gridSpan w:val="3"/>
            <w:noWrap w:val="0"/>
            <w:vAlign w:val="top"/>
          </w:tcPr>
          <w:p>
            <w:pPr>
              <w:pStyle w:val="15"/>
              <w:spacing w:before="118"/>
              <w:ind w:left="699"/>
              <w:rPr>
                <w:b w:val="0"/>
                <w:bCs/>
                <w:sz w:val="24"/>
              </w:rPr>
            </w:pPr>
            <w:r>
              <w:rPr>
                <w:b w:val="0"/>
                <w:bCs/>
                <w:color w:val="111111"/>
                <w:sz w:val="24"/>
              </w:rPr>
              <w:t>立项投资总额</w:t>
            </w:r>
          </w:p>
        </w:tc>
        <w:tc>
          <w:tcPr>
            <w:tcW w:w="2084" w:type="dxa"/>
            <w:noWrap w:val="0"/>
            <w:vAlign w:val="top"/>
          </w:tcPr>
          <w:p>
            <w:pPr>
              <w:pStyle w:val="15"/>
              <w:spacing w:before="118"/>
              <w:ind w:left="1134" w:right="-44"/>
              <w:rPr>
                <w:b w:val="0"/>
                <w:bCs/>
                <w:sz w:val="24"/>
              </w:rPr>
            </w:pPr>
            <w:r>
              <w:rPr>
                <w:b w:val="0"/>
                <w:bCs/>
                <w:sz w:val="24"/>
              </w:rPr>
              <w:t>（万元）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2" w:hRule="atLeast"/>
        </w:trPr>
        <w:tc>
          <w:tcPr>
            <w:tcW w:w="1529" w:type="dxa"/>
            <w:noWrap w:val="0"/>
            <w:vAlign w:val="top"/>
          </w:tcPr>
          <w:p>
            <w:pPr>
              <w:pStyle w:val="15"/>
              <w:spacing w:before="123"/>
              <w:ind w:right="144"/>
              <w:jc w:val="right"/>
              <w:rPr>
                <w:b w:val="0"/>
                <w:bCs/>
                <w:sz w:val="24"/>
              </w:rPr>
            </w:pPr>
            <w:r>
              <w:rPr>
                <w:b w:val="0"/>
                <w:bCs/>
                <w:sz w:val="24"/>
              </w:rPr>
              <w:t>合同金额</w:t>
            </w:r>
          </w:p>
        </w:tc>
        <w:tc>
          <w:tcPr>
            <w:tcW w:w="2918" w:type="dxa"/>
            <w:gridSpan w:val="3"/>
            <w:noWrap w:val="0"/>
            <w:vAlign w:val="top"/>
          </w:tcPr>
          <w:p>
            <w:pPr>
              <w:pStyle w:val="15"/>
              <w:rPr>
                <w:rFonts w:ascii="Times New Roman"/>
                <w:b w:val="0"/>
                <w:bCs/>
                <w:sz w:val="22"/>
              </w:rPr>
            </w:pPr>
          </w:p>
        </w:tc>
        <w:tc>
          <w:tcPr>
            <w:tcW w:w="2363" w:type="dxa"/>
            <w:gridSpan w:val="3"/>
            <w:noWrap w:val="0"/>
            <w:vAlign w:val="top"/>
          </w:tcPr>
          <w:p>
            <w:pPr>
              <w:pStyle w:val="15"/>
              <w:spacing w:before="123"/>
              <w:ind w:left="699"/>
              <w:rPr>
                <w:b w:val="0"/>
                <w:bCs/>
                <w:sz w:val="24"/>
              </w:rPr>
            </w:pPr>
            <w:r>
              <w:rPr>
                <w:b w:val="0"/>
                <w:bCs/>
                <w:sz w:val="24"/>
              </w:rPr>
              <w:t>变更申报日期</w:t>
            </w:r>
          </w:p>
        </w:tc>
        <w:tc>
          <w:tcPr>
            <w:tcW w:w="2084" w:type="dxa"/>
            <w:noWrap w:val="0"/>
            <w:vAlign w:val="top"/>
          </w:tcPr>
          <w:p>
            <w:pPr>
              <w:pStyle w:val="15"/>
              <w:rPr>
                <w:rFonts w:ascii="Times New Roman"/>
                <w:b w:val="0"/>
                <w:bCs/>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72" w:hRule="atLeast"/>
        </w:trPr>
        <w:tc>
          <w:tcPr>
            <w:tcW w:w="1529" w:type="dxa"/>
            <w:tcBorders>
              <w:bottom w:val="single" w:color="000000" w:themeColor="text1" w:sz="6" w:space="0"/>
            </w:tcBorders>
            <w:noWrap w:val="0"/>
            <w:vAlign w:val="top"/>
          </w:tcPr>
          <w:p>
            <w:pPr>
              <w:pStyle w:val="15"/>
              <w:rPr>
                <w:b w:val="0"/>
                <w:bCs/>
                <w:sz w:val="24"/>
              </w:rPr>
            </w:pPr>
          </w:p>
          <w:p>
            <w:pPr>
              <w:pStyle w:val="15"/>
              <w:rPr>
                <w:b w:val="0"/>
                <w:bCs/>
                <w:sz w:val="24"/>
              </w:rPr>
            </w:pPr>
          </w:p>
          <w:p>
            <w:pPr>
              <w:pStyle w:val="15"/>
              <w:spacing w:before="213" w:line="242" w:lineRule="auto"/>
              <w:ind w:left="164" w:right="144" w:firstLine="240"/>
              <w:rPr>
                <w:b w:val="0"/>
                <w:bCs/>
                <w:sz w:val="24"/>
              </w:rPr>
            </w:pPr>
            <w:r>
              <w:rPr>
                <w:b w:val="0"/>
                <w:bCs/>
                <w:sz w:val="24"/>
              </w:rPr>
              <w:t>变更原因及论证经过</w:t>
            </w:r>
          </w:p>
        </w:tc>
        <w:tc>
          <w:tcPr>
            <w:tcW w:w="7365" w:type="dxa"/>
            <w:gridSpan w:val="7"/>
            <w:tcBorders>
              <w:bottom w:val="single" w:color="000000" w:themeColor="text1" w:sz="6" w:space="0"/>
            </w:tcBorders>
            <w:noWrap w:val="0"/>
            <w:vAlign w:val="top"/>
          </w:tcPr>
          <w:p>
            <w:pPr>
              <w:pStyle w:val="15"/>
              <w:rPr>
                <w:rFonts w:ascii="Times New Roman"/>
                <w:b w:val="0"/>
                <w:bCs/>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2" w:hRule="atLeast"/>
        </w:trPr>
        <w:tc>
          <w:tcPr>
            <w:tcW w:w="1529" w:type="dxa"/>
            <w:tcBorders>
              <w:top w:val="single" w:color="000000" w:themeColor="text1" w:sz="6" w:space="0"/>
            </w:tcBorders>
            <w:noWrap w:val="0"/>
            <w:vAlign w:val="top"/>
          </w:tcPr>
          <w:p>
            <w:pPr>
              <w:pStyle w:val="15"/>
              <w:spacing w:before="156" w:line="242" w:lineRule="auto"/>
              <w:ind w:left="106" w:right="-44" w:firstLine="57"/>
              <w:rPr>
                <w:b w:val="0"/>
                <w:bCs/>
                <w:sz w:val="24"/>
              </w:rPr>
            </w:pPr>
            <w:r>
              <w:rPr>
                <w:b w:val="0"/>
                <w:bCs/>
                <w:sz w:val="24"/>
              </w:rPr>
              <w:t>本次变更估</w:t>
            </w:r>
            <w:r>
              <w:rPr>
                <w:b w:val="0"/>
                <w:bCs/>
                <w:spacing w:val="-2"/>
                <w:sz w:val="24"/>
              </w:rPr>
              <w:t>算金额</w:t>
            </w:r>
            <w:r>
              <w:rPr>
                <w:b w:val="0"/>
                <w:bCs/>
                <w:sz w:val="24"/>
              </w:rPr>
              <w:t>（元）</w:t>
            </w:r>
          </w:p>
        </w:tc>
        <w:tc>
          <w:tcPr>
            <w:tcW w:w="2500" w:type="dxa"/>
            <w:gridSpan w:val="2"/>
            <w:tcBorders>
              <w:top w:val="single" w:color="000000" w:themeColor="text1" w:sz="6" w:space="0"/>
            </w:tcBorders>
            <w:noWrap w:val="0"/>
            <w:vAlign w:val="top"/>
          </w:tcPr>
          <w:p>
            <w:pPr>
              <w:pStyle w:val="15"/>
              <w:rPr>
                <w:rFonts w:ascii="Times New Roman"/>
                <w:b w:val="0"/>
                <w:bCs/>
                <w:sz w:val="22"/>
              </w:rPr>
            </w:pPr>
          </w:p>
        </w:tc>
        <w:tc>
          <w:tcPr>
            <w:tcW w:w="1893" w:type="dxa"/>
            <w:gridSpan w:val="3"/>
            <w:tcBorders>
              <w:top w:val="single" w:color="000000" w:themeColor="text1" w:sz="6" w:space="0"/>
            </w:tcBorders>
            <w:noWrap w:val="0"/>
            <w:vAlign w:val="top"/>
          </w:tcPr>
          <w:p>
            <w:pPr>
              <w:pStyle w:val="15"/>
              <w:spacing w:before="156" w:line="242" w:lineRule="auto"/>
              <w:ind w:left="107" w:right="86"/>
              <w:rPr>
                <w:b w:val="0"/>
                <w:bCs/>
                <w:sz w:val="24"/>
              </w:rPr>
            </w:pPr>
            <w:r>
              <w:rPr>
                <w:b w:val="0"/>
                <w:bCs/>
                <w:sz w:val="24"/>
              </w:rPr>
              <w:t>累计变更估算金额（元）</w:t>
            </w:r>
          </w:p>
        </w:tc>
        <w:tc>
          <w:tcPr>
            <w:tcW w:w="2972" w:type="dxa"/>
            <w:gridSpan w:val="2"/>
            <w:tcBorders>
              <w:top w:val="single" w:color="000000" w:themeColor="text1" w:sz="6" w:space="0"/>
            </w:tcBorders>
            <w:noWrap w:val="0"/>
            <w:vAlign w:val="top"/>
          </w:tcPr>
          <w:p>
            <w:pPr>
              <w:pStyle w:val="15"/>
              <w:rPr>
                <w:rFonts w:ascii="Times New Roman"/>
                <w:b w:val="0"/>
                <w:bCs/>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7" w:hRule="atLeast"/>
        </w:trPr>
        <w:tc>
          <w:tcPr>
            <w:tcW w:w="2643" w:type="dxa"/>
            <w:gridSpan w:val="2"/>
            <w:noWrap w:val="0"/>
            <w:vAlign w:val="top"/>
          </w:tcPr>
          <w:p>
            <w:pPr>
              <w:pStyle w:val="15"/>
              <w:spacing w:before="2"/>
              <w:ind w:left="586"/>
              <w:rPr>
                <w:b w:val="0"/>
                <w:bCs/>
                <w:sz w:val="24"/>
              </w:rPr>
            </w:pPr>
            <w:r>
              <w:rPr>
                <w:b w:val="0"/>
                <w:bCs/>
                <w:sz w:val="24"/>
              </w:rPr>
              <w:t>监理单位意见：</w:t>
            </w:r>
          </w:p>
          <w:p>
            <w:pPr>
              <w:pStyle w:val="15"/>
              <w:rPr>
                <w:b w:val="0"/>
                <w:bCs/>
                <w:sz w:val="24"/>
              </w:rPr>
            </w:pPr>
          </w:p>
          <w:p>
            <w:pPr>
              <w:pStyle w:val="15"/>
              <w:rPr>
                <w:b w:val="0"/>
                <w:bCs/>
                <w:sz w:val="24"/>
              </w:rPr>
            </w:pPr>
          </w:p>
          <w:p>
            <w:pPr>
              <w:pStyle w:val="15"/>
              <w:spacing w:before="5"/>
              <w:rPr>
                <w:b w:val="0"/>
                <w:bCs/>
                <w:sz w:val="25"/>
              </w:rPr>
            </w:pPr>
          </w:p>
          <w:p>
            <w:pPr>
              <w:pStyle w:val="15"/>
              <w:ind w:left="586"/>
              <w:rPr>
                <w:b w:val="0"/>
                <w:bCs/>
                <w:sz w:val="24"/>
              </w:rPr>
            </w:pPr>
            <w:r>
              <w:rPr>
                <w:b w:val="0"/>
                <w:bCs/>
                <w:sz w:val="24"/>
              </w:rPr>
              <w:t>盖章：</w:t>
            </w:r>
          </w:p>
          <w:p>
            <w:pPr>
              <w:pStyle w:val="15"/>
              <w:spacing w:before="5"/>
              <w:ind w:left="586"/>
              <w:rPr>
                <w:b w:val="0"/>
                <w:bCs/>
                <w:sz w:val="24"/>
              </w:rPr>
            </w:pPr>
            <w:r>
              <w:rPr>
                <w:b w:val="0"/>
                <w:bCs/>
                <w:sz w:val="24"/>
              </w:rPr>
              <w:t>责任人签字：</w:t>
            </w:r>
          </w:p>
          <w:p>
            <w:pPr>
              <w:pStyle w:val="15"/>
              <w:spacing w:before="4"/>
              <w:ind w:left="1455"/>
              <w:rPr>
                <w:b w:val="0"/>
                <w:bCs/>
                <w:sz w:val="24"/>
              </w:rPr>
            </w:pPr>
            <w:r>
              <w:rPr>
                <w:b w:val="0"/>
                <w:bCs/>
                <w:sz w:val="24"/>
              </w:rPr>
              <w:t>年 月 日</w:t>
            </w:r>
          </w:p>
        </w:tc>
        <w:tc>
          <w:tcPr>
            <w:tcW w:w="3084" w:type="dxa"/>
            <w:gridSpan w:val="3"/>
            <w:noWrap w:val="0"/>
            <w:vAlign w:val="top"/>
          </w:tcPr>
          <w:p>
            <w:pPr>
              <w:pStyle w:val="15"/>
              <w:spacing w:before="2"/>
              <w:ind w:left="588"/>
              <w:rPr>
                <w:b w:val="0"/>
                <w:bCs/>
                <w:sz w:val="24"/>
              </w:rPr>
            </w:pPr>
            <w:r>
              <w:rPr>
                <w:b w:val="0"/>
                <w:bCs/>
                <w:sz w:val="24"/>
              </w:rPr>
              <w:t>跟踪审计单位意见：</w:t>
            </w:r>
          </w:p>
          <w:p>
            <w:pPr>
              <w:pStyle w:val="15"/>
              <w:rPr>
                <w:b w:val="0"/>
                <w:bCs/>
                <w:sz w:val="24"/>
              </w:rPr>
            </w:pPr>
          </w:p>
          <w:p>
            <w:pPr>
              <w:pStyle w:val="15"/>
              <w:rPr>
                <w:b w:val="0"/>
                <w:bCs/>
                <w:sz w:val="24"/>
              </w:rPr>
            </w:pPr>
          </w:p>
          <w:p>
            <w:pPr>
              <w:pStyle w:val="15"/>
              <w:spacing w:before="5"/>
              <w:rPr>
                <w:b w:val="0"/>
                <w:bCs/>
                <w:sz w:val="25"/>
              </w:rPr>
            </w:pPr>
          </w:p>
          <w:p>
            <w:pPr>
              <w:pStyle w:val="15"/>
              <w:ind w:left="588"/>
              <w:rPr>
                <w:b w:val="0"/>
                <w:bCs/>
                <w:sz w:val="24"/>
              </w:rPr>
            </w:pPr>
            <w:r>
              <w:rPr>
                <w:b w:val="0"/>
                <w:bCs/>
                <w:sz w:val="24"/>
              </w:rPr>
              <w:t>盖章：</w:t>
            </w:r>
          </w:p>
          <w:p>
            <w:pPr>
              <w:pStyle w:val="15"/>
              <w:spacing w:before="5"/>
              <w:ind w:left="588"/>
              <w:rPr>
                <w:b w:val="0"/>
                <w:bCs/>
                <w:sz w:val="24"/>
              </w:rPr>
            </w:pPr>
            <w:r>
              <w:rPr>
                <w:b w:val="0"/>
                <w:bCs/>
                <w:sz w:val="24"/>
              </w:rPr>
              <w:t>责任人签字：</w:t>
            </w:r>
          </w:p>
          <w:p>
            <w:pPr>
              <w:pStyle w:val="15"/>
              <w:spacing w:before="4"/>
              <w:ind w:left="1562"/>
              <w:rPr>
                <w:b w:val="0"/>
                <w:bCs/>
                <w:sz w:val="24"/>
              </w:rPr>
            </w:pPr>
            <w:r>
              <w:rPr>
                <w:b w:val="0"/>
                <w:bCs/>
                <w:sz w:val="24"/>
              </w:rPr>
              <w:t>年 月 日</w:t>
            </w:r>
          </w:p>
        </w:tc>
        <w:tc>
          <w:tcPr>
            <w:tcW w:w="3167" w:type="dxa"/>
            <w:gridSpan w:val="3"/>
            <w:noWrap w:val="0"/>
            <w:vAlign w:val="top"/>
          </w:tcPr>
          <w:p>
            <w:pPr>
              <w:pStyle w:val="15"/>
              <w:spacing w:before="2"/>
              <w:ind w:left="588"/>
              <w:rPr>
                <w:b w:val="0"/>
                <w:bCs/>
                <w:sz w:val="24"/>
              </w:rPr>
            </w:pPr>
            <w:r>
              <w:rPr>
                <w:b w:val="0"/>
                <w:bCs/>
                <w:sz w:val="24"/>
              </w:rPr>
              <w:t>施工单位意见：</w:t>
            </w:r>
          </w:p>
          <w:p>
            <w:pPr>
              <w:pStyle w:val="15"/>
              <w:rPr>
                <w:b w:val="0"/>
                <w:bCs/>
                <w:sz w:val="24"/>
              </w:rPr>
            </w:pPr>
          </w:p>
          <w:p>
            <w:pPr>
              <w:pStyle w:val="15"/>
              <w:rPr>
                <w:b w:val="0"/>
                <w:bCs/>
                <w:sz w:val="24"/>
              </w:rPr>
            </w:pPr>
          </w:p>
          <w:p>
            <w:pPr>
              <w:pStyle w:val="15"/>
              <w:spacing w:before="5"/>
              <w:rPr>
                <w:b w:val="0"/>
                <w:bCs/>
                <w:sz w:val="25"/>
              </w:rPr>
            </w:pPr>
          </w:p>
          <w:p>
            <w:pPr>
              <w:pStyle w:val="15"/>
              <w:ind w:left="588"/>
              <w:rPr>
                <w:b w:val="0"/>
                <w:bCs/>
                <w:sz w:val="24"/>
              </w:rPr>
            </w:pPr>
            <w:r>
              <w:rPr>
                <w:b w:val="0"/>
                <w:bCs/>
                <w:sz w:val="24"/>
              </w:rPr>
              <w:t>盖章：</w:t>
            </w:r>
          </w:p>
          <w:p>
            <w:pPr>
              <w:pStyle w:val="15"/>
              <w:spacing w:before="5"/>
              <w:ind w:left="588"/>
              <w:rPr>
                <w:b w:val="0"/>
                <w:bCs/>
                <w:sz w:val="24"/>
              </w:rPr>
            </w:pPr>
            <w:r>
              <w:rPr>
                <w:b w:val="0"/>
                <w:bCs/>
                <w:sz w:val="24"/>
              </w:rPr>
              <w:t>责任人签字：</w:t>
            </w:r>
          </w:p>
          <w:p>
            <w:pPr>
              <w:pStyle w:val="15"/>
              <w:spacing w:before="4"/>
              <w:ind w:left="1977"/>
              <w:rPr>
                <w:b w:val="0"/>
                <w:bCs/>
                <w:sz w:val="24"/>
              </w:rPr>
            </w:pPr>
            <w:r>
              <w:rPr>
                <w:b w:val="0"/>
                <w:bCs/>
                <w:sz w:val="24"/>
              </w:rPr>
              <w:t>年 月 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07" w:hRule="atLeast"/>
        </w:trPr>
        <w:tc>
          <w:tcPr>
            <w:tcW w:w="4447" w:type="dxa"/>
            <w:gridSpan w:val="4"/>
            <w:noWrap w:val="0"/>
            <w:vAlign w:val="top"/>
          </w:tcPr>
          <w:p>
            <w:pPr>
              <w:pStyle w:val="15"/>
              <w:spacing w:before="3"/>
              <w:ind w:left="586"/>
              <w:rPr>
                <w:b w:val="0"/>
                <w:bCs/>
                <w:sz w:val="24"/>
              </w:rPr>
            </w:pPr>
            <w:r>
              <w:rPr>
                <w:b w:val="0"/>
                <w:bCs/>
                <w:sz w:val="24"/>
              </w:rPr>
              <w:t>设计单位意见：</w:t>
            </w:r>
          </w:p>
          <w:p>
            <w:pPr>
              <w:pStyle w:val="15"/>
              <w:rPr>
                <w:b w:val="0"/>
                <w:bCs/>
                <w:sz w:val="24"/>
              </w:rPr>
            </w:pPr>
          </w:p>
          <w:p>
            <w:pPr>
              <w:pStyle w:val="15"/>
              <w:rPr>
                <w:b w:val="0"/>
                <w:bCs/>
                <w:sz w:val="24"/>
              </w:rPr>
            </w:pPr>
          </w:p>
          <w:p>
            <w:pPr>
              <w:pStyle w:val="15"/>
              <w:rPr>
                <w:b w:val="0"/>
                <w:bCs/>
                <w:sz w:val="24"/>
              </w:rPr>
            </w:pPr>
          </w:p>
          <w:p>
            <w:pPr>
              <w:pStyle w:val="15"/>
              <w:spacing w:before="10"/>
              <w:rPr>
                <w:b w:val="0"/>
                <w:bCs/>
                <w:sz w:val="25"/>
              </w:rPr>
            </w:pPr>
          </w:p>
          <w:p>
            <w:pPr>
              <w:pStyle w:val="15"/>
              <w:ind w:left="586"/>
              <w:rPr>
                <w:b w:val="0"/>
                <w:bCs/>
                <w:sz w:val="24"/>
              </w:rPr>
            </w:pPr>
            <w:r>
              <w:rPr>
                <w:b w:val="0"/>
                <w:bCs/>
                <w:sz w:val="24"/>
              </w:rPr>
              <w:t>盖章：</w:t>
            </w:r>
          </w:p>
          <w:p>
            <w:pPr>
              <w:pStyle w:val="15"/>
              <w:spacing w:before="4"/>
              <w:ind w:left="586"/>
              <w:rPr>
                <w:b w:val="0"/>
                <w:bCs/>
                <w:sz w:val="24"/>
              </w:rPr>
            </w:pPr>
            <w:r>
              <w:rPr>
                <w:b w:val="0"/>
                <w:bCs/>
                <w:sz w:val="24"/>
              </w:rPr>
              <w:t>责任人签字：</w:t>
            </w:r>
          </w:p>
          <w:p>
            <w:pPr>
              <w:pStyle w:val="15"/>
              <w:spacing w:before="5"/>
              <w:ind w:left="2266"/>
              <w:rPr>
                <w:b w:val="0"/>
                <w:bCs/>
                <w:sz w:val="24"/>
              </w:rPr>
            </w:pPr>
            <w:r>
              <w:rPr>
                <w:b w:val="0"/>
                <w:bCs/>
                <w:sz w:val="24"/>
              </w:rPr>
              <w:t>年 月 日</w:t>
            </w:r>
          </w:p>
        </w:tc>
        <w:tc>
          <w:tcPr>
            <w:tcW w:w="4447" w:type="dxa"/>
            <w:gridSpan w:val="4"/>
            <w:noWrap w:val="0"/>
            <w:vAlign w:val="top"/>
          </w:tcPr>
          <w:p>
            <w:pPr>
              <w:pStyle w:val="15"/>
              <w:spacing w:before="3"/>
              <w:ind w:left="586"/>
              <w:rPr>
                <w:b w:val="0"/>
                <w:bCs/>
                <w:sz w:val="24"/>
              </w:rPr>
            </w:pPr>
            <w:r>
              <w:rPr>
                <w:b w:val="0"/>
                <w:bCs/>
                <w:sz w:val="24"/>
              </w:rPr>
              <w:t>建设单位意见：</w:t>
            </w:r>
          </w:p>
          <w:p>
            <w:pPr>
              <w:pStyle w:val="15"/>
              <w:rPr>
                <w:b w:val="0"/>
                <w:bCs/>
                <w:sz w:val="24"/>
              </w:rPr>
            </w:pPr>
          </w:p>
          <w:p>
            <w:pPr>
              <w:pStyle w:val="15"/>
              <w:rPr>
                <w:b w:val="0"/>
                <w:bCs/>
                <w:sz w:val="24"/>
              </w:rPr>
            </w:pPr>
          </w:p>
          <w:p>
            <w:pPr>
              <w:pStyle w:val="15"/>
              <w:spacing w:before="5"/>
              <w:rPr>
                <w:b w:val="0"/>
                <w:bCs/>
                <w:sz w:val="25"/>
              </w:rPr>
            </w:pPr>
          </w:p>
          <w:p>
            <w:pPr>
              <w:pStyle w:val="15"/>
              <w:ind w:left="106"/>
              <w:rPr>
                <w:b w:val="0"/>
                <w:bCs/>
                <w:sz w:val="24"/>
              </w:rPr>
            </w:pPr>
            <w:r>
              <w:rPr>
                <w:b w:val="0"/>
                <w:bCs/>
                <w:sz w:val="24"/>
              </w:rPr>
              <w:t>单位盖章：</w:t>
            </w:r>
          </w:p>
          <w:p>
            <w:pPr>
              <w:pStyle w:val="15"/>
              <w:spacing w:before="5" w:line="242" w:lineRule="auto"/>
              <w:ind w:left="106" w:right="2398"/>
              <w:rPr>
                <w:b w:val="0"/>
                <w:bCs/>
                <w:sz w:val="24"/>
              </w:rPr>
            </w:pPr>
            <w:r>
              <w:rPr>
                <w:b w:val="0"/>
                <w:bCs/>
                <w:sz w:val="24"/>
              </w:rPr>
              <w:t>项目负责人签字： 法定代表人签字：</w:t>
            </w:r>
          </w:p>
          <w:p>
            <w:pPr>
              <w:pStyle w:val="15"/>
              <w:spacing w:before="3"/>
              <w:ind w:left="2506"/>
              <w:rPr>
                <w:b w:val="0"/>
                <w:bCs/>
                <w:sz w:val="24"/>
              </w:rPr>
            </w:pPr>
            <w:r>
              <w:rPr>
                <w:b w:val="0"/>
                <w:bCs/>
                <w:sz w:val="24"/>
              </w:rPr>
              <w:t>年 月 日</w:t>
            </w:r>
          </w:p>
        </w:tc>
      </w:tr>
    </w:tbl>
    <w:p>
      <w:pPr>
        <w:pStyle w:val="4"/>
        <w:spacing w:before="3"/>
        <w:rPr>
          <w:rFonts w:ascii="宋体"/>
          <w:b w:val="0"/>
          <w:bCs/>
          <w:sz w:val="6"/>
        </w:rPr>
      </w:pPr>
    </w:p>
    <w:p>
      <w:pPr>
        <w:spacing w:before="70" w:line="374" w:lineRule="auto"/>
        <w:ind w:left="228" w:right="-284" w:rightChars="0" w:firstLine="420"/>
        <w:jc w:val="left"/>
        <w:rPr>
          <w:rFonts w:hint="eastAsia" w:ascii="宋体" w:hAnsi="宋体" w:eastAsia="宋体" w:cs="宋体"/>
          <w:b w:val="0"/>
          <w:bCs/>
          <w:color w:val="111111"/>
          <w:sz w:val="21"/>
          <w:szCs w:val="21"/>
        </w:rPr>
      </w:pPr>
      <w:r>
        <w:rPr>
          <w:rFonts w:hint="eastAsia" w:ascii="宋体" w:hAnsi="宋体" w:eastAsia="宋体" w:cs="宋体"/>
          <w:b w:val="0"/>
          <w:bCs/>
          <w:color w:val="111111"/>
          <w:sz w:val="21"/>
          <w:szCs w:val="21"/>
        </w:rPr>
        <w:t>注：1、此表为建设单位发生变更时统一填写的报审格式，变更估算金额建设单位先自行核   实确定，决算时以审计确认为准。</w:t>
      </w:r>
    </w:p>
    <w:p>
      <w:pPr>
        <w:spacing w:before="70" w:line="374" w:lineRule="auto"/>
        <w:ind w:left="228" w:right="-284" w:rightChars="0" w:firstLine="420"/>
        <w:jc w:val="left"/>
        <w:rPr>
          <w:rFonts w:hint="eastAsia" w:ascii="宋体" w:hAnsi="宋体" w:eastAsia="宋体" w:cs="宋体"/>
          <w:b w:val="0"/>
          <w:bCs/>
          <w:color w:val="111111"/>
          <w:sz w:val="21"/>
          <w:szCs w:val="21"/>
          <w:lang w:eastAsia="zh-CN"/>
        </w:rPr>
        <w:sectPr>
          <w:pgSz w:w="11910" w:h="16840"/>
          <w:pgMar w:top="1701" w:right="1587" w:bottom="1701" w:left="1587" w:header="0" w:footer="1116" w:gutter="0"/>
          <w:pgBorders>
            <w:top w:val="none" w:sz="0" w:space="0"/>
            <w:left w:val="none" w:sz="0" w:space="0"/>
            <w:bottom w:val="none" w:sz="0" w:space="0"/>
            <w:right w:val="none" w:sz="0" w:space="0"/>
          </w:pgBorders>
          <w:pgNumType w:fmt="numberInDash"/>
          <w:cols w:space="720" w:num="1"/>
          <w:rtlGutter w:val="0"/>
        </w:sectPr>
      </w:pPr>
      <w:r>
        <w:rPr>
          <w:rFonts w:hint="eastAsia" w:ascii="宋体" w:hAnsi="宋体" w:eastAsia="宋体" w:cs="宋体"/>
          <w:b w:val="0"/>
          <w:bCs/>
          <w:color w:val="111111"/>
          <w:sz w:val="21"/>
          <w:szCs w:val="21"/>
        </w:rPr>
        <w:t>2、变更不涉及到设计单位的，设计单位意见不填；无跟踪审计单位的，跟踪审计单位意见   不填</w:t>
      </w:r>
    </w:p>
    <w:p>
      <w:pPr>
        <w:pStyle w:val="4"/>
        <w:spacing w:before="54"/>
        <w:rPr>
          <w:b w:val="0"/>
          <w:bCs/>
        </w:rPr>
      </w:pPr>
      <w:r>
        <w:rPr>
          <w:b w:val="0"/>
          <w:bCs/>
        </w:rPr>
        <w:t>附表 2：</w:t>
      </w:r>
    </w:p>
    <w:p>
      <w:pPr>
        <w:pStyle w:val="4"/>
        <w:spacing w:before="214"/>
        <w:ind w:right="37"/>
        <w:jc w:val="center"/>
        <w:rPr>
          <w:rFonts w:hint="eastAsia" w:ascii="宋体" w:eastAsia="宋体"/>
          <w:b w:val="0"/>
          <w:bCs/>
        </w:rPr>
      </w:pPr>
      <w:r>
        <w:rPr>
          <w:rFonts w:hint="eastAsia" w:ascii="宋体" w:eastAsia="宋体"/>
          <w:b w:val="0"/>
          <w:bCs/>
        </w:rPr>
        <w:t>变更责任审查表</w:t>
      </w:r>
    </w:p>
    <w:p>
      <w:pPr>
        <w:pStyle w:val="4"/>
        <w:rPr>
          <w:rFonts w:ascii="宋体"/>
          <w:b w:val="0"/>
          <w:bCs/>
          <w:sz w:val="20"/>
        </w:rPr>
      </w:pPr>
    </w:p>
    <w:p>
      <w:pPr>
        <w:pStyle w:val="4"/>
        <w:spacing w:before="2"/>
        <w:rPr>
          <w:rFonts w:ascii="宋体"/>
          <w:b w:val="0"/>
          <w:bCs/>
          <w:sz w:val="13"/>
        </w:rPr>
      </w:pPr>
    </w:p>
    <w:tbl>
      <w:tblPr>
        <w:tblStyle w:val="8"/>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3"/>
        <w:gridCol w:w="60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1" w:hRule="atLeast"/>
        </w:trPr>
        <w:tc>
          <w:tcPr>
            <w:tcW w:w="2233" w:type="dxa"/>
            <w:noWrap w:val="0"/>
            <w:vAlign w:val="top"/>
          </w:tcPr>
          <w:p>
            <w:pPr>
              <w:pStyle w:val="15"/>
              <w:spacing w:before="7"/>
              <w:rPr>
                <w:b w:val="0"/>
                <w:bCs/>
                <w:sz w:val="30"/>
              </w:rPr>
            </w:pPr>
          </w:p>
          <w:p>
            <w:pPr>
              <w:pStyle w:val="15"/>
              <w:tabs>
                <w:tab w:val="left" w:pos="490"/>
              </w:tabs>
              <w:ind w:left="10"/>
              <w:jc w:val="center"/>
              <w:rPr>
                <w:b w:val="0"/>
                <w:bCs/>
                <w:sz w:val="24"/>
              </w:rPr>
            </w:pPr>
            <w:r>
              <w:rPr>
                <w:b w:val="0"/>
                <w:bCs/>
                <w:sz w:val="24"/>
              </w:rPr>
              <w:t>项</w:t>
            </w:r>
            <w:r>
              <w:rPr>
                <w:b w:val="0"/>
                <w:bCs/>
                <w:sz w:val="24"/>
              </w:rPr>
              <w:tab/>
            </w:r>
            <w:r>
              <w:rPr>
                <w:b w:val="0"/>
                <w:bCs/>
                <w:sz w:val="24"/>
              </w:rPr>
              <w:t>目</w:t>
            </w:r>
          </w:p>
        </w:tc>
        <w:tc>
          <w:tcPr>
            <w:tcW w:w="6097" w:type="dxa"/>
            <w:noWrap w:val="0"/>
            <w:vAlign w:val="top"/>
          </w:tcPr>
          <w:p>
            <w:pPr>
              <w:pStyle w:val="15"/>
              <w:spacing w:before="7"/>
              <w:rPr>
                <w:b w:val="0"/>
                <w:bCs/>
                <w:sz w:val="30"/>
              </w:rPr>
            </w:pPr>
          </w:p>
          <w:p>
            <w:pPr>
              <w:pStyle w:val="15"/>
              <w:ind w:left="2187" w:right="2179"/>
              <w:jc w:val="center"/>
              <w:rPr>
                <w:b w:val="0"/>
                <w:bCs/>
                <w:sz w:val="24"/>
              </w:rPr>
            </w:pPr>
            <w:r>
              <w:rPr>
                <w:b w:val="0"/>
                <w:bCs/>
                <w:sz w:val="24"/>
              </w:rPr>
              <w:t>变更责任的界定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4" w:hRule="atLeast"/>
        </w:trPr>
        <w:tc>
          <w:tcPr>
            <w:tcW w:w="2233" w:type="dxa"/>
            <w:noWrap w:val="0"/>
            <w:vAlign w:val="top"/>
          </w:tcPr>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spacing w:before="10"/>
              <w:rPr>
                <w:b w:val="0"/>
                <w:bCs/>
                <w:sz w:val="18"/>
              </w:rPr>
            </w:pPr>
          </w:p>
          <w:p>
            <w:pPr>
              <w:pStyle w:val="15"/>
              <w:spacing w:before="1" w:line="242" w:lineRule="auto"/>
              <w:ind w:left="876" w:right="624" w:hanging="240"/>
              <w:rPr>
                <w:b w:val="0"/>
                <w:bCs/>
                <w:sz w:val="24"/>
              </w:rPr>
            </w:pPr>
            <w:r>
              <w:rPr>
                <w:b w:val="0"/>
                <w:bCs/>
                <w:sz w:val="24"/>
              </w:rPr>
              <w:t>责任界定意见</w:t>
            </w:r>
          </w:p>
        </w:tc>
        <w:tc>
          <w:tcPr>
            <w:tcW w:w="6097" w:type="dxa"/>
            <w:noWrap w:val="0"/>
            <w:vAlign w:val="top"/>
          </w:tcPr>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spacing w:before="10"/>
              <w:rPr>
                <w:b w:val="0"/>
                <w:bCs/>
                <w:sz w:val="28"/>
              </w:rPr>
            </w:pPr>
          </w:p>
          <w:p>
            <w:pPr>
              <w:pStyle w:val="15"/>
              <w:spacing w:before="1" w:line="487" w:lineRule="auto"/>
              <w:ind w:left="1547" w:right="2617"/>
              <w:rPr>
                <w:b w:val="0"/>
                <w:bCs/>
                <w:sz w:val="24"/>
              </w:rPr>
            </w:pPr>
            <w:r>
              <w:rPr>
                <w:b w:val="0"/>
                <w:bCs/>
                <w:sz w:val="24"/>
              </w:rPr>
              <w:t xml:space="preserve">界定人员签字： </w:t>
            </w:r>
          </w:p>
          <w:p>
            <w:pPr>
              <w:pStyle w:val="15"/>
              <w:spacing w:before="1" w:line="487" w:lineRule="auto"/>
              <w:ind w:left="1547" w:right="2617"/>
              <w:rPr>
                <w:b w:val="0"/>
                <w:bCs/>
                <w:sz w:val="24"/>
              </w:rPr>
            </w:pPr>
            <w:r>
              <w:rPr>
                <w:b w:val="0"/>
                <w:bCs/>
                <w:spacing w:val="-3"/>
                <w:sz w:val="24"/>
              </w:rPr>
              <w:t>项目负责人签字：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3" w:hRule="atLeast"/>
        </w:trPr>
        <w:tc>
          <w:tcPr>
            <w:tcW w:w="2233" w:type="dxa"/>
            <w:noWrap w:val="0"/>
            <w:vAlign w:val="top"/>
          </w:tcPr>
          <w:p>
            <w:pPr>
              <w:pStyle w:val="15"/>
              <w:rPr>
                <w:b w:val="0"/>
                <w:bCs/>
                <w:sz w:val="24"/>
              </w:rPr>
            </w:pPr>
          </w:p>
          <w:p>
            <w:pPr>
              <w:pStyle w:val="15"/>
              <w:rPr>
                <w:b w:val="0"/>
                <w:bCs/>
                <w:sz w:val="24"/>
              </w:rPr>
            </w:pPr>
          </w:p>
          <w:p>
            <w:pPr>
              <w:pStyle w:val="15"/>
              <w:rPr>
                <w:b w:val="0"/>
                <w:bCs/>
                <w:sz w:val="24"/>
              </w:rPr>
            </w:pPr>
          </w:p>
          <w:p>
            <w:pPr>
              <w:pStyle w:val="15"/>
              <w:spacing w:before="2"/>
              <w:rPr>
                <w:b w:val="0"/>
                <w:bCs/>
                <w:sz w:val="19"/>
              </w:rPr>
            </w:pPr>
          </w:p>
          <w:p>
            <w:pPr>
              <w:pStyle w:val="15"/>
              <w:spacing w:line="242" w:lineRule="auto"/>
              <w:ind w:left="996" w:right="144" w:hanging="840"/>
              <w:rPr>
                <w:b w:val="0"/>
                <w:bCs/>
                <w:sz w:val="24"/>
              </w:rPr>
            </w:pPr>
            <w:r>
              <w:rPr>
                <w:b w:val="0"/>
                <w:bCs/>
                <w:sz w:val="24"/>
              </w:rPr>
              <w:t>审核意见及处理措施</w:t>
            </w:r>
          </w:p>
        </w:tc>
        <w:tc>
          <w:tcPr>
            <w:tcW w:w="6097" w:type="dxa"/>
            <w:noWrap w:val="0"/>
            <w:vAlign w:val="top"/>
          </w:tcPr>
          <w:p>
            <w:pPr>
              <w:pStyle w:val="15"/>
              <w:rPr>
                <w:b w:val="0"/>
                <w:bCs/>
                <w:sz w:val="24"/>
              </w:rPr>
            </w:pPr>
          </w:p>
          <w:p>
            <w:pPr>
              <w:pStyle w:val="15"/>
              <w:rPr>
                <w:b w:val="0"/>
                <w:bCs/>
                <w:sz w:val="24"/>
              </w:rPr>
            </w:pPr>
          </w:p>
          <w:p>
            <w:pPr>
              <w:pStyle w:val="15"/>
              <w:rPr>
                <w:b w:val="0"/>
                <w:bCs/>
                <w:sz w:val="24"/>
              </w:rPr>
            </w:pPr>
          </w:p>
          <w:p>
            <w:pPr>
              <w:pStyle w:val="15"/>
              <w:rPr>
                <w:b w:val="0"/>
                <w:bCs/>
                <w:sz w:val="24"/>
              </w:rPr>
            </w:pPr>
          </w:p>
          <w:p>
            <w:pPr>
              <w:pStyle w:val="15"/>
              <w:rPr>
                <w:b w:val="0"/>
                <w:bCs/>
                <w:sz w:val="26"/>
              </w:rPr>
            </w:pPr>
          </w:p>
          <w:p>
            <w:pPr>
              <w:pStyle w:val="15"/>
              <w:spacing w:before="1" w:line="242" w:lineRule="auto"/>
              <w:ind w:left="107" w:right="3937"/>
              <w:rPr>
                <w:rFonts w:hint="eastAsia" w:eastAsia="宋体"/>
                <w:b w:val="0"/>
                <w:bCs/>
                <w:spacing w:val="-9"/>
                <w:sz w:val="24"/>
                <w:lang w:eastAsia="zh-CN"/>
              </w:rPr>
            </w:pPr>
            <w:r>
              <w:rPr>
                <w:b w:val="0"/>
                <w:bCs/>
                <w:sz w:val="24"/>
              </w:rPr>
              <w:t>建设单位（公章</w:t>
            </w:r>
            <w:r>
              <w:rPr>
                <w:rFonts w:hint="eastAsia"/>
                <w:b w:val="0"/>
                <w:bCs/>
                <w:sz w:val="24"/>
                <w:lang w:eastAsia="zh-CN"/>
              </w:rPr>
              <w:t>）：</w:t>
            </w:r>
          </w:p>
          <w:p>
            <w:pPr>
              <w:pStyle w:val="15"/>
              <w:spacing w:before="1" w:line="242" w:lineRule="auto"/>
              <w:ind w:left="107" w:right="3937"/>
              <w:rPr>
                <w:b w:val="0"/>
                <w:bCs/>
                <w:sz w:val="24"/>
              </w:rPr>
            </w:pPr>
            <w:r>
              <w:rPr>
                <w:b w:val="0"/>
                <w:bCs/>
                <w:sz w:val="24"/>
              </w:rPr>
              <w:t>法定代表人签字：</w:t>
            </w:r>
          </w:p>
        </w:tc>
      </w:tr>
    </w:tbl>
    <w:p>
      <w:pPr>
        <w:pStyle w:val="4"/>
        <w:rPr>
          <w:rFonts w:ascii="宋体"/>
          <w:b w:val="0"/>
          <w:bCs/>
          <w:sz w:val="20"/>
        </w:rPr>
      </w:pPr>
    </w:p>
    <w:p>
      <w:pPr>
        <w:tabs>
          <w:tab w:val="left" w:pos="480"/>
          <w:tab w:val="left" w:pos="1200"/>
          <w:tab w:val="left" w:pos="1920"/>
        </w:tabs>
        <w:spacing w:before="207"/>
        <w:ind w:left="0" w:right="506" w:firstLine="0"/>
        <w:jc w:val="right"/>
        <w:rPr>
          <w:rFonts w:hint="eastAsia"/>
          <w:b w:val="0"/>
          <w:bCs/>
          <w:sz w:val="24"/>
          <w:u w:val="single"/>
          <w:lang w:eastAsia="zh-CN"/>
        </w:rPr>
      </w:pPr>
      <w:r>
        <w:rPr>
          <w:rFonts w:ascii="Times New Roman" w:eastAsia="Times New Roman"/>
          <w:b w:val="0"/>
          <w:bCs/>
          <w:sz w:val="24"/>
          <w:u w:val="single"/>
        </w:rPr>
        <w:t xml:space="preserve"> </w:t>
      </w:r>
      <w:r>
        <w:rPr>
          <w:rFonts w:ascii="Times New Roman" w:eastAsia="Times New Roman"/>
          <w:b w:val="0"/>
          <w:bCs/>
          <w:sz w:val="24"/>
          <w:u w:val="single"/>
        </w:rPr>
        <w:tab/>
      </w:r>
      <w:r>
        <w:rPr>
          <w:b w:val="0"/>
          <w:bCs/>
          <w:sz w:val="24"/>
        </w:rPr>
        <w:t>年</w:t>
      </w:r>
      <w:r>
        <w:rPr>
          <w:b w:val="0"/>
          <w:bCs/>
          <w:sz w:val="24"/>
          <w:u w:val="single"/>
        </w:rPr>
        <w:t xml:space="preserve"> </w:t>
      </w:r>
      <w:r>
        <w:rPr>
          <w:b w:val="0"/>
          <w:bCs/>
          <w:sz w:val="24"/>
          <w:u w:val="single"/>
        </w:rPr>
        <w:tab/>
      </w:r>
      <w:r>
        <w:rPr>
          <w:b w:val="0"/>
          <w:bCs/>
          <w:sz w:val="24"/>
        </w:rPr>
        <w:t>月</w:t>
      </w:r>
      <w:r>
        <w:rPr>
          <w:b w:val="0"/>
          <w:bCs/>
          <w:sz w:val="24"/>
          <w:u w:val="single"/>
        </w:rPr>
        <w:t xml:space="preserve"> </w:t>
      </w:r>
      <w:r>
        <w:rPr>
          <w:b w:val="0"/>
          <w:bCs/>
          <w:sz w:val="24"/>
          <w:u w:val="single"/>
        </w:rPr>
        <w:tab/>
      </w:r>
      <w:r>
        <w:rPr>
          <w:rFonts w:hint="eastAsia"/>
          <w:b w:val="0"/>
          <w:bCs/>
          <w:sz w:val="24"/>
          <w:u w:val="single"/>
          <w:lang w:eastAsia="zh-CN"/>
        </w:rPr>
        <w:t>日</w:t>
      </w:r>
    </w:p>
    <w:p>
      <w:pPr>
        <w:rPr>
          <w:rFonts w:hint="eastAsia"/>
          <w:b w:val="0"/>
          <w:bCs/>
          <w:lang w:eastAsia="zh-CN"/>
        </w:rPr>
        <w:sectPr>
          <w:pgSz w:w="11910" w:h="16840"/>
          <w:pgMar w:top="1701" w:right="1587" w:bottom="1701" w:left="1587" w:header="0" w:footer="1116" w:gutter="0"/>
          <w:pgBorders>
            <w:top w:val="none" w:sz="0" w:space="0"/>
            <w:left w:val="none" w:sz="0" w:space="0"/>
            <w:bottom w:val="none" w:sz="0" w:space="0"/>
            <w:right w:val="none" w:sz="0" w:space="0"/>
          </w:pgBorders>
          <w:pgNumType w:fmt="numberInDash"/>
          <w:cols w:space="720" w:num="1"/>
          <w:rtlGutter w:val="0"/>
        </w:sectPr>
      </w:pPr>
      <w:r>
        <w:rPr>
          <w:rFonts w:hint="eastAsia"/>
          <w:b w:val="0"/>
          <w:bCs/>
          <w:lang w:eastAsia="zh-CN"/>
        </w:rPr>
        <w:br w:type="page"/>
      </w:r>
    </w:p>
    <w:p>
      <w:pPr>
        <w:rPr>
          <w:rFonts w:hint="default"/>
          <w:b w:val="0"/>
          <w:bCs/>
          <w:lang w:eastAsia="zh-CN"/>
        </w:rPr>
      </w:pPr>
    </w:p>
    <w:sectPr>
      <w:footerReference r:id="rId4"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144123"/>
      <w:docPartObj>
        <w:docPartGallery w:val="autotext"/>
      </w:docPartObj>
    </w:sdtPr>
    <w:sdtContent>
      <w:sdt>
        <w:sdtPr>
          <w:id w:val="171357217"/>
          <w:docPartObj>
            <w:docPartGallery w:val="autotext"/>
          </w:docPartObj>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16</w:t>
            </w:r>
            <w:r>
              <w:rPr>
                <w:b/>
                <w:sz w:val="24"/>
                <w:szCs w:val="24"/>
              </w:rPr>
              <w:fldChar w:fldCharType="end"/>
            </w:r>
          </w:p>
        </w:sdtContent>
      </w:sdt>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ODlmMzA0MTVmYzJmYTdkYjNjMGJiMTRhNjExNjQifQ=="/>
  </w:docVars>
  <w:rsids>
    <w:rsidRoot w:val="00352152"/>
    <w:rsid w:val="00052A18"/>
    <w:rsid w:val="00352152"/>
    <w:rsid w:val="003B49C7"/>
    <w:rsid w:val="00476404"/>
    <w:rsid w:val="004D1808"/>
    <w:rsid w:val="00532F5D"/>
    <w:rsid w:val="006D59A8"/>
    <w:rsid w:val="00987960"/>
    <w:rsid w:val="009D50DA"/>
    <w:rsid w:val="00A720E8"/>
    <w:rsid w:val="00B27654"/>
    <w:rsid w:val="00C24570"/>
    <w:rsid w:val="00D52F50"/>
    <w:rsid w:val="00EC18D7"/>
    <w:rsid w:val="00F144BE"/>
    <w:rsid w:val="00FB0202"/>
    <w:rsid w:val="02D54924"/>
    <w:rsid w:val="034F0AEC"/>
    <w:rsid w:val="06CC4290"/>
    <w:rsid w:val="08513B29"/>
    <w:rsid w:val="0BC7245D"/>
    <w:rsid w:val="0BF422BF"/>
    <w:rsid w:val="0C272694"/>
    <w:rsid w:val="0C4B1293"/>
    <w:rsid w:val="0D1A3FA7"/>
    <w:rsid w:val="0D674D12"/>
    <w:rsid w:val="10685029"/>
    <w:rsid w:val="10B64D47"/>
    <w:rsid w:val="10F02214"/>
    <w:rsid w:val="10F26257"/>
    <w:rsid w:val="11A13517"/>
    <w:rsid w:val="11AE585A"/>
    <w:rsid w:val="120E7E53"/>
    <w:rsid w:val="13353897"/>
    <w:rsid w:val="16077093"/>
    <w:rsid w:val="168204F4"/>
    <w:rsid w:val="18D03A8D"/>
    <w:rsid w:val="1C35495A"/>
    <w:rsid w:val="20CF1F7D"/>
    <w:rsid w:val="20CF4C51"/>
    <w:rsid w:val="219C2D85"/>
    <w:rsid w:val="21B43560"/>
    <w:rsid w:val="22EF3388"/>
    <w:rsid w:val="24617CAD"/>
    <w:rsid w:val="26B156FB"/>
    <w:rsid w:val="27787DF0"/>
    <w:rsid w:val="284B2E0F"/>
    <w:rsid w:val="28E10711"/>
    <w:rsid w:val="29286271"/>
    <w:rsid w:val="296C128F"/>
    <w:rsid w:val="2D634A77"/>
    <w:rsid w:val="2E185F8C"/>
    <w:rsid w:val="308415B4"/>
    <w:rsid w:val="339E007A"/>
    <w:rsid w:val="36371A8D"/>
    <w:rsid w:val="36FC3656"/>
    <w:rsid w:val="39276F80"/>
    <w:rsid w:val="3CBA010B"/>
    <w:rsid w:val="3D2E14E1"/>
    <w:rsid w:val="3FB157F6"/>
    <w:rsid w:val="43EE2A18"/>
    <w:rsid w:val="443A71AC"/>
    <w:rsid w:val="45265C19"/>
    <w:rsid w:val="464B69A4"/>
    <w:rsid w:val="46746524"/>
    <w:rsid w:val="47655430"/>
    <w:rsid w:val="48873598"/>
    <w:rsid w:val="48E72288"/>
    <w:rsid w:val="4A45552A"/>
    <w:rsid w:val="4C994F4D"/>
    <w:rsid w:val="4CA80A99"/>
    <w:rsid w:val="4D471926"/>
    <w:rsid w:val="4D6011AA"/>
    <w:rsid w:val="4DC20265"/>
    <w:rsid w:val="502B6D9B"/>
    <w:rsid w:val="5357026A"/>
    <w:rsid w:val="53BC2E44"/>
    <w:rsid w:val="554B73AC"/>
    <w:rsid w:val="58900246"/>
    <w:rsid w:val="5ABB72A7"/>
    <w:rsid w:val="5AEF2D3F"/>
    <w:rsid w:val="5B8147BE"/>
    <w:rsid w:val="619568CD"/>
    <w:rsid w:val="623D3FBA"/>
    <w:rsid w:val="62E775FD"/>
    <w:rsid w:val="62F15D85"/>
    <w:rsid w:val="63471E49"/>
    <w:rsid w:val="63696264"/>
    <w:rsid w:val="63D8564E"/>
    <w:rsid w:val="64FD59C8"/>
    <w:rsid w:val="65273883"/>
    <w:rsid w:val="695D23C7"/>
    <w:rsid w:val="695E7B16"/>
    <w:rsid w:val="6B43383E"/>
    <w:rsid w:val="6F9C52CB"/>
    <w:rsid w:val="708A2BA0"/>
    <w:rsid w:val="71357785"/>
    <w:rsid w:val="7265409A"/>
    <w:rsid w:val="72CE2BFE"/>
    <w:rsid w:val="73B41ED2"/>
    <w:rsid w:val="74DA48CB"/>
    <w:rsid w:val="75C12BF5"/>
    <w:rsid w:val="776C2CCA"/>
    <w:rsid w:val="77B51620"/>
    <w:rsid w:val="785E75C1"/>
    <w:rsid w:val="78B83176"/>
    <w:rsid w:val="79053EE1"/>
    <w:rsid w:val="79206F6D"/>
    <w:rsid w:val="79B40C22"/>
    <w:rsid w:val="7A5E1FF9"/>
    <w:rsid w:val="7BB95541"/>
    <w:rsid w:val="7C5027BB"/>
    <w:rsid w:val="7CC75495"/>
    <w:rsid w:val="7E2D6154"/>
    <w:rsid w:val="7F0A3FFF"/>
    <w:rsid w:val="7FAA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unhideWhenUsed/>
    <w:qFormat/>
    <w:uiPriority w:val="99"/>
    <w:pPr>
      <w:widowControl w:val="0"/>
      <w:spacing w:beforeLines="0" w:afterLines="0"/>
      <w:jc w:val="both"/>
    </w:pPr>
    <w:rPr>
      <w:rFonts w:hint="default" w:ascii="Times New Roman" w:hAnsi="Times New Roman" w:eastAsia="Times New Roman" w:cs="Times New Roman"/>
      <w:sz w:val="21"/>
      <w:szCs w:val="22"/>
      <w:lang w:val="en-US" w:eastAsia="zh-CN" w:bidi="ar-SA"/>
    </w:rPr>
  </w:style>
  <w:style w:type="paragraph" w:styleId="3">
    <w:name w:val="annotation text"/>
    <w:basedOn w:val="1"/>
    <w:semiHidden/>
    <w:unhideWhenUsed/>
    <w:qFormat/>
    <w:uiPriority w:val="99"/>
    <w:pPr>
      <w:jc w:val="left"/>
    </w:pPr>
  </w:style>
  <w:style w:type="paragraph" w:styleId="4">
    <w:name w:val="Body Text"/>
    <w:basedOn w:val="1"/>
    <w:qFormat/>
    <w:uiPriority w:val="1"/>
    <w:rPr>
      <w:rFonts w:ascii="仿宋" w:hAnsi="仿宋" w:eastAsia="仿宋" w:cs="仿宋"/>
      <w:sz w:val="32"/>
      <w:szCs w:val="32"/>
      <w:lang w:val="zh-CN" w:eastAsia="zh-CN" w:bidi="zh-CN"/>
    </w:rPr>
  </w:style>
  <w:style w:type="paragraph" w:styleId="5">
    <w:name w:val="Balloon Text"/>
    <w:basedOn w:val="1"/>
    <w:link w:val="10"/>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pPr>
    <w:rPr>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10">
    <w:name w:val="批注框文本 Char"/>
    <w:basedOn w:val="9"/>
    <w:link w:val="5"/>
    <w:semiHidden/>
    <w:qFormat/>
    <w:uiPriority w:val="99"/>
    <w:rPr>
      <w:rFonts w:ascii="Arial" w:hAnsi="Arial" w:cs="Arial"/>
      <w:snapToGrid w:val="0"/>
      <w:color w:val="000000"/>
      <w:kern w:val="0"/>
      <w:sz w:val="18"/>
      <w:szCs w:val="18"/>
    </w:rPr>
  </w:style>
  <w:style w:type="paragraph" w:styleId="11">
    <w:name w:val="List Paragraph"/>
    <w:basedOn w:val="1"/>
    <w:qFormat/>
    <w:uiPriority w:val="34"/>
    <w:pPr>
      <w:ind w:firstLine="420" w:firstLineChars="200"/>
    </w:pPr>
  </w:style>
  <w:style w:type="table" w:customStyle="1" w:styleId="12">
    <w:name w:val="Table Normal"/>
    <w:semiHidden/>
    <w:unhideWhenUsed/>
    <w:qFormat/>
    <w:uiPriority w:val="0"/>
    <w:rPr>
      <w:rFonts w:ascii="Arial" w:hAnsi="Arial" w:cs="Arial"/>
      <w:snapToGrid w:val="0"/>
      <w:color w:val="000000"/>
      <w:kern w:val="0"/>
      <w:szCs w:val="21"/>
    </w:rPr>
    <w:tblPr>
      <w:tblCellMar>
        <w:top w:w="0" w:type="dxa"/>
        <w:left w:w="0" w:type="dxa"/>
        <w:bottom w:w="0" w:type="dxa"/>
        <w:right w:w="0" w:type="dxa"/>
      </w:tblCellMar>
    </w:tblPr>
  </w:style>
  <w:style w:type="character" w:customStyle="1" w:styleId="13">
    <w:name w:val="页眉 Char"/>
    <w:basedOn w:val="9"/>
    <w:link w:val="7"/>
    <w:semiHidden/>
    <w:qFormat/>
    <w:uiPriority w:val="99"/>
    <w:rPr>
      <w:rFonts w:ascii="Arial" w:hAnsi="Arial" w:cs="Arial"/>
      <w:snapToGrid w:val="0"/>
      <w:color w:val="000000"/>
      <w:kern w:val="0"/>
      <w:sz w:val="18"/>
      <w:szCs w:val="18"/>
    </w:rPr>
  </w:style>
  <w:style w:type="character" w:customStyle="1" w:styleId="14">
    <w:name w:val="页脚 Char"/>
    <w:basedOn w:val="9"/>
    <w:link w:val="6"/>
    <w:qFormat/>
    <w:uiPriority w:val="99"/>
    <w:rPr>
      <w:rFonts w:ascii="Arial" w:hAnsi="Arial" w:cs="Arial"/>
      <w:snapToGrid w:val="0"/>
      <w:color w:val="000000"/>
      <w:kern w:val="0"/>
      <w:sz w:val="18"/>
      <w:szCs w:val="18"/>
    </w:rPr>
  </w:style>
  <w:style w:type="paragraph" w:customStyle="1" w:styleId="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DCC23C-6D54-4960-B263-AA6FA325C16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6355</Words>
  <Characters>6423</Characters>
  <Lines>47</Lines>
  <Paragraphs>13</Paragraphs>
  <TotalTime>218</TotalTime>
  <ScaleCrop>false</ScaleCrop>
  <LinksUpToDate>false</LinksUpToDate>
  <CharactersWithSpaces>6559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2022-11-16T03:51:00Z</dcterms:created>
  <dc:creator>dell</dc:creator>
  <cp:lastModifiedBy>太白豆子</cp:lastModifiedBy>
  <cp:lastPrinted>2022-11-14T09:40:00Z</cp:lastPrinted>
  <dcterms:modified xsi:type="dcterms:W3CDTF">2022-11-21T08:08:59Z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47C08AD25F554E27B99B89B337CF04BB</vt:lpwstr>
  </property>
</Properties>
</file>