
<file path=[Content_Types].xml><?xml version="1.0" encoding="utf-8"?>
<Types xmlns="http://schemas.openxmlformats.org/package/2006/content-types">
  <Default Extension="xml" ContentType="application/xml"/>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90" w:lineRule="exact"/>
        <w:rPr>
          <w:rFonts w:ascii="Times New Roman" w:hAnsi="Times New Roman" w:eastAsia="仿宋" w:cs="Times New Roman"/>
          <w:sz w:val="32"/>
          <w:szCs w:val="32"/>
        </w:rPr>
      </w:pPr>
      <w:r>
        <w:rPr>
          <w:rFonts w:ascii="Times New Roman" w:hAnsi="Times New Roman" w:eastAsia="仿宋" w:cs="Times New Roman"/>
          <w:sz w:val="32"/>
          <w:szCs w:val="32"/>
        </w:rPr>
        <w:t>附件：</w:t>
      </w:r>
    </w:p>
    <w:p>
      <w:pPr>
        <w:spacing w:line="590" w:lineRule="exact"/>
        <w:jc w:val="center"/>
        <w:rPr>
          <w:rFonts w:ascii="Times New Roman" w:hAnsi="Times New Roman" w:eastAsia="方正小标宋_GBK" w:cs="Times New Roman"/>
          <w:sz w:val="40"/>
          <w:szCs w:val="44"/>
        </w:rPr>
      </w:pPr>
      <w:r>
        <w:rPr>
          <w:rFonts w:hint="eastAsia" w:ascii="Times New Roman" w:hAnsi="Times New Roman" w:eastAsia="方正小标宋_GBK" w:cs="Times New Roman"/>
          <w:sz w:val="44"/>
          <w:szCs w:val="44"/>
        </w:rPr>
        <w:t xml:space="preserve"> </w:t>
      </w:r>
      <w:r>
        <w:rPr>
          <w:rFonts w:hint="eastAsia" w:ascii="Times New Roman" w:hAnsi="Times New Roman" w:eastAsia="方正小标宋_GBK" w:cs="Times New Roman"/>
          <w:sz w:val="40"/>
          <w:szCs w:val="44"/>
        </w:rPr>
        <w:t xml:space="preserve"> </w:t>
      </w:r>
      <w:r>
        <w:rPr>
          <w:rFonts w:ascii="Times New Roman" w:hAnsi="Times New Roman" w:eastAsia="方正小标宋_GBK" w:cs="Times New Roman"/>
          <w:sz w:val="40"/>
          <w:szCs w:val="44"/>
        </w:rPr>
        <w:t>溧水区2024-03号土地征收成片开发方案</w:t>
      </w:r>
    </w:p>
    <w:p>
      <w:pPr>
        <w:spacing w:line="580" w:lineRule="exact"/>
        <w:ind w:firstLine="800" w:firstLineChars="200"/>
        <w:jc w:val="center"/>
        <w:rPr>
          <w:rFonts w:ascii="Times New Roman" w:hAnsi="Times New Roman" w:eastAsia="方正小标宋_GBK" w:cs="Times New Roman"/>
          <w:sz w:val="40"/>
          <w:szCs w:val="44"/>
        </w:rPr>
      </w:pPr>
      <w:r>
        <w:rPr>
          <w:rFonts w:ascii="Times New Roman" w:hAnsi="Times New Roman" w:eastAsia="方正小标宋_GBK" w:cs="Times New Roman"/>
          <w:sz w:val="40"/>
          <w:szCs w:val="44"/>
        </w:rPr>
        <w:t>（征求意见稿）</w:t>
      </w:r>
    </w:p>
    <w:p>
      <w:pPr>
        <w:pStyle w:val="11"/>
        <w:spacing w:line="580" w:lineRule="exact"/>
        <w:ind w:left="562" w:firstLine="0" w:firstLineChars="0"/>
        <w:rPr>
          <w:rFonts w:ascii="方正公文黑体" w:hAnsi="方正公文黑体" w:eastAsia="方正公文黑体" w:cs="Times New Roman"/>
          <w:sz w:val="28"/>
          <w:szCs w:val="28"/>
        </w:rPr>
      </w:pPr>
      <w:r>
        <w:rPr>
          <w:rFonts w:ascii="方正公文黑体" w:hAnsi="方正公文黑体" w:eastAsia="方正公文黑体" w:cs="Times New Roman"/>
          <w:sz w:val="28"/>
          <w:szCs w:val="28"/>
        </w:rPr>
        <w:t>一、编制依据</w:t>
      </w:r>
    </w:p>
    <w:p>
      <w:pPr>
        <w:spacing w:line="580" w:lineRule="exact"/>
        <w:ind w:firstLine="560" w:firstLineChars="200"/>
        <w:rPr>
          <w:rFonts w:ascii="Times New Roman" w:hAnsi="Times New Roman" w:eastAsia="仿宋" w:cs="Times New Roman"/>
          <w:b/>
          <w:bCs/>
          <w:sz w:val="28"/>
          <w:szCs w:val="28"/>
        </w:rPr>
      </w:pPr>
      <w:r>
        <w:rPr>
          <w:rFonts w:ascii="Times New Roman" w:hAnsi="Times New Roman" w:eastAsia="仿宋" w:cs="Times New Roman"/>
          <w:b/>
          <w:bCs/>
          <w:sz w:val="28"/>
          <w:szCs w:val="28"/>
        </w:rPr>
        <w:t>1、法律法规</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《中华人民共和国土地管理法》（2019修正版）</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《中华人民共和国土地管理法实施条例》</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《基本农田保护条例》</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《江苏省土地管理条例》</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《江苏省土壤污染防治条例》</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《中华人民共和国</w:t>
      </w:r>
      <w:bookmarkStart w:id="3" w:name="_GoBack"/>
      <w:bookmarkEnd w:id="3"/>
      <w:r>
        <w:rPr>
          <w:rFonts w:ascii="Times New Roman" w:hAnsi="Times New Roman" w:eastAsia="仿宋" w:cs="Times New Roman"/>
          <w:sz w:val="28"/>
          <w:szCs w:val="28"/>
        </w:rPr>
        <w:t>村民委员会组织法》</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《中华人民共和国</w:t>
      </w:r>
      <w:r>
        <w:rPr>
          <w:rFonts w:hint="eastAsia" w:ascii="Times New Roman" w:hAnsi="Times New Roman" w:eastAsia="仿宋" w:cs="Times New Roman"/>
          <w:sz w:val="28"/>
          <w:szCs w:val="28"/>
          <w:lang w:val="en-US" w:eastAsia="zh-CN"/>
        </w:rPr>
        <w:t>城市</w:t>
      </w:r>
      <w:r>
        <w:rPr>
          <w:rFonts w:ascii="Times New Roman" w:hAnsi="Times New Roman" w:eastAsia="仿宋" w:cs="Times New Roman"/>
          <w:sz w:val="28"/>
          <w:szCs w:val="28"/>
        </w:rPr>
        <w:t>居民委员会组织法》</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其他相关法律法规</w:t>
      </w:r>
    </w:p>
    <w:p>
      <w:pPr>
        <w:spacing w:line="580" w:lineRule="exact"/>
        <w:ind w:firstLine="560" w:firstLineChars="200"/>
        <w:rPr>
          <w:rFonts w:ascii="Times New Roman" w:hAnsi="Times New Roman" w:eastAsia="仿宋" w:cs="Times New Roman"/>
          <w:b/>
          <w:bCs/>
          <w:sz w:val="28"/>
          <w:szCs w:val="28"/>
        </w:rPr>
      </w:pPr>
      <w:r>
        <w:rPr>
          <w:rFonts w:ascii="Times New Roman" w:hAnsi="Times New Roman" w:eastAsia="仿宋" w:cs="Times New Roman"/>
          <w:b/>
          <w:bCs/>
          <w:sz w:val="28"/>
          <w:szCs w:val="28"/>
        </w:rPr>
        <w:t>2、政策文件</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《自然资源部关于印发</w:t>
      </w:r>
      <w:r>
        <w:rPr>
          <w:rFonts w:hint="eastAsia" w:ascii="Times New Roman" w:hAnsi="Times New Roman" w:eastAsia="仿宋_GB2312" w:cs="Times New Roman"/>
          <w:color w:val="000000"/>
          <w:sz w:val="32"/>
          <w:szCs w:val="32"/>
        </w:rPr>
        <w:t>〈</w:t>
      </w:r>
      <w:r>
        <w:rPr>
          <w:rFonts w:ascii="Times New Roman" w:hAnsi="Times New Roman" w:eastAsia="仿宋" w:cs="Times New Roman"/>
          <w:sz w:val="28"/>
          <w:szCs w:val="28"/>
        </w:rPr>
        <w:t>土地征收成片开发标准</w:t>
      </w:r>
      <w:r>
        <w:rPr>
          <w:rFonts w:hint="eastAsia" w:ascii="Times New Roman" w:hAnsi="Times New Roman" w:eastAsia="仿宋_GB2312" w:cs="Times New Roman"/>
          <w:color w:val="000000"/>
          <w:sz w:val="32"/>
          <w:szCs w:val="32"/>
        </w:rPr>
        <w:t>〉</w:t>
      </w:r>
      <w:r>
        <w:rPr>
          <w:rFonts w:ascii="Times New Roman" w:hAnsi="Times New Roman" w:eastAsia="仿宋" w:cs="Times New Roman"/>
          <w:sz w:val="28"/>
          <w:szCs w:val="28"/>
        </w:rPr>
        <w:t>的通知》(自然资规〔2023〕7号)</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《江苏省自然资源厅关于开展土地征收成片开发方案编制工作的通知》（苏自然资函〔2021〕15号）</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《江苏省自然资源厅关于加快推进土地征收成片开发方案编制工作的通知》（苏自然资函〔2021〕138号）</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其他相关政策文件</w:t>
      </w:r>
    </w:p>
    <w:p>
      <w:pPr>
        <w:pStyle w:val="11"/>
        <w:spacing w:line="580" w:lineRule="exact"/>
        <w:ind w:left="562" w:firstLine="0" w:firstLineChars="0"/>
        <w:rPr>
          <w:rFonts w:ascii="方正公文黑体" w:hAnsi="方正公文黑体" w:eastAsia="方正公文黑体" w:cs="Times New Roman"/>
          <w:sz w:val="28"/>
          <w:szCs w:val="28"/>
        </w:rPr>
      </w:pPr>
      <w:r>
        <w:rPr>
          <w:rFonts w:ascii="方正公文黑体" w:hAnsi="方正公文黑体" w:eastAsia="方正公文黑体" w:cs="Times New Roman"/>
          <w:sz w:val="28"/>
          <w:szCs w:val="28"/>
        </w:rPr>
        <w:t>二、片区基本情况</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本次成片开发方案共划定1个片区，总规模约40.6468</w:t>
      </w:r>
      <w:r>
        <w:rPr>
          <w:rFonts w:hint="eastAsia" w:ascii="Times New Roman" w:hAnsi="Times New Roman" w:eastAsia="仿宋" w:cs="Times New Roman"/>
          <w:sz w:val="28"/>
          <w:szCs w:val="28"/>
        </w:rPr>
        <w:t>公顷</w:t>
      </w:r>
      <w:r>
        <w:rPr>
          <w:rFonts w:ascii="Times New Roman" w:hAnsi="Times New Roman" w:eastAsia="仿宋" w:cs="Times New Roman"/>
          <w:sz w:val="28"/>
          <w:szCs w:val="28"/>
        </w:rPr>
        <w:t>，</w:t>
      </w:r>
      <w:r>
        <w:rPr>
          <w:rFonts w:hint="eastAsia" w:ascii="Times New Roman" w:hAnsi="Times New Roman" w:eastAsia="仿宋" w:cs="Times New Roman"/>
          <w:sz w:val="28"/>
          <w:szCs w:val="28"/>
        </w:rPr>
        <w:t>位于永阳街道</w:t>
      </w:r>
      <w:r>
        <w:rPr>
          <w:rFonts w:ascii="Times New Roman" w:hAnsi="Times New Roman" w:eastAsia="仿宋" w:cs="Times New Roman"/>
          <w:sz w:val="28"/>
          <w:szCs w:val="28"/>
        </w:rPr>
        <w:t>，</w:t>
      </w:r>
      <w:r>
        <w:rPr>
          <w:rFonts w:hint="eastAsia" w:ascii="Times New Roman" w:hAnsi="Times New Roman" w:eastAsia="仿宋" w:cs="Times New Roman"/>
          <w:sz w:val="28"/>
          <w:szCs w:val="28"/>
        </w:rPr>
        <w:t>四至范围东至栖凤南路、南至乐亭巷、西至开发边界、北至大西门街，涉及永阳街道城郊社区，具体范围</w:t>
      </w:r>
      <w:r>
        <w:rPr>
          <w:rFonts w:ascii="Times New Roman" w:hAnsi="Times New Roman" w:eastAsia="仿宋" w:cs="Times New Roman"/>
          <w:sz w:val="28"/>
          <w:szCs w:val="28"/>
        </w:rPr>
        <w:t>详见附图。</w:t>
      </w:r>
    </w:p>
    <w:p>
      <w:pPr>
        <w:pStyle w:val="11"/>
        <w:spacing w:line="580" w:lineRule="exact"/>
        <w:ind w:left="562" w:firstLine="0" w:firstLineChars="0"/>
        <w:rPr>
          <w:rFonts w:ascii="方正公文黑体" w:hAnsi="方正公文黑体" w:eastAsia="方正公文黑体" w:cs="Times New Roman"/>
          <w:sz w:val="28"/>
          <w:szCs w:val="28"/>
        </w:rPr>
      </w:pPr>
      <w:r>
        <w:rPr>
          <w:rFonts w:ascii="方正公文黑体" w:hAnsi="方正公文黑体" w:eastAsia="方正公文黑体" w:cs="Times New Roman"/>
          <w:sz w:val="28"/>
          <w:szCs w:val="28"/>
        </w:rPr>
        <w:t>三、片区开发必要性</w:t>
      </w:r>
    </w:p>
    <w:p>
      <w:pPr>
        <w:pStyle w:val="11"/>
        <w:spacing w:line="580" w:lineRule="exact"/>
        <w:ind w:left="568" w:firstLine="0" w:firstLineChars="0"/>
        <w:rPr>
          <w:rFonts w:ascii="Times New Roman" w:hAnsi="Times New Roman" w:eastAsia="仿宋" w:cs="Times New Roman"/>
          <w:b/>
          <w:sz w:val="28"/>
          <w:szCs w:val="28"/>
        </w:rPr>
      </w:pPr>
      <w:r>
        <w:rPr>
          <w:rFonts w:ascii="Times New Roman" w:hAnsi="Times New Roman" w:eastAsia="仿宋" w:cs="Times New Roman"/>
          <w:b/>
          <w:sz w:val="28"/>
          <w:szCs w:val="28"/>
        </w:rPr>
        <w:t xml:space="preserve">1、有利于落实战略引领，引导国土空间资源高效配置 </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成片开发依据国土空间规划、国民经济和社会发展规划，突出规划引导，改变以往以投资项目为主导、跳跃式（插花式）布局的土地供应机制，引导建设行为集中布局、空间资源高效使用，达到</w:t>
      </w:r>
      <w:r>
        <w:rPr>
          <w:rFonts w:hint="eastAsia" w:ascii="Times New Roman" w:hAnsi="Times New Roman" w:eastAsia="仿宋" w:cs="Times New Roman"/>
          <w:sz w:val="28"/>
          <w:szCs w:val="28"/>
        </w:rPr>
        <w:t>“</w:t>
      </w:r>
      <w:r>
        <w:rPr>
          <w:rFonts w:ascii="Times New Roman" w:hAnsi="Times New Roman" w:eastAsia="仿宋" w:cs="Times New Roman"/>
          <w:sz w:val="28"/>
          <w:szCs w:val="28"/>
        </w:rPr>
        <w:t>征一片、建一片、成一片、活一片</w:t>
      </w:r>
      <w:r>
        <w:rPr>
          <w:rFonts w:hint="eastAsia" w:ascii="Times New Roman" w:hAnsi="Times New Roman" w:eastAsia="仿宋" w:cs="Times New Roman"/>
          <w:kern w:val="0"/>
          <w:sz w:val="28"/>
          <w:szCs w:val="28"/>
        </w:rPr>
        <w:t>”</w:t>
      </w:r>
      <w:r>
        <w:rPr>
          <w:rFonts w:ascii="Times New Roman" w:hAnsi="Times New Roman" w:eastAsia="仿宋" w:cs="Times New Roman"/>
          <w:sz w:val="28"/>
          <w:szCs w:val="28"/>
        </w:rPr>
        <w:t>的发展目标，从而提高城市运行效率，落实国家的新发展理念。</w:t>
      </w:r>
    </w:p>
    <w:p>
      <w:pPr>
        <w:spacing w:line="580" w:lineRule="exact"/>
        <w:ind w:firstLine="562" w:firstLineChars="201"/>
        <w:rPr>
          <w:rFonts w:ascii="Times New Roman" w:hAnsi="Times New Roman" w:eastAsia="仿宋" w:cs="Times New Roman"/>
          <w:b/>
          <w:sz w:val="28"/>
          <w:szCs w:val="28"/>
        </w:rPr>
      </w:pPr>
      <w:r>
        <w:rPr>
          <w:rFonts w:ascii="Times New Roman" w:hAnsi="Times New Roman" w:eastAsia="仿宋" w:cs="Times New Roman"/>
          <w:b/>
          <w:sz w:val="28"/>
          <w:szCs w:val="28"/>
        </w:rPr>
        <w:t>2、有利于</w:t>
      </w:r>
      <w:r>
        <w:rPr>
          <w:rFonts w:hint="eastAsia" w:ascii="Times New Roman" w:hAnsi="Times New Roman" w:eastAsia="仿宋" w:cs="Times New Roman"/>
          <w:b/>
          <w:sz w:val="28"/>
          <w:szCs w:val="28"/>
        </w:rPr>
        <w:t>提升土地利用效率，助力溧水副城功能完善</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本方案</w:t>
      </w:r>
      <w:r>
        <w:rPr>
          <w:rFonts w:ascii="Times New Roman" w:hAnsi="Times New Roman" w:eastAsia="仿宋" w:cs="Times New Roman"/>
          <w:sz w:val="28"/>
          <w:szCs w:val="28"/>
        </w:rPr>
        <w:t>处于溧水副城城</w:t>
      </w:r>
      <w:r>
        <w:rPr>
          <w:rFonts w:hint="eastAsia" w:ascii="Times New Roman" w:hAnsi="Times New Roman" w:eastAsia="仿宋" w:cs="Times New Roman"/>
          <w:sz w:val="28"/>
          <w:szCs w:val="28"/>
        </w:rPr>
        <w:t>镇</w:t>
      </w:r>
      <w:r>
        <w:rPr>
          <w:rFonts w:ascii="Times New Roman" w:hAnsi="Times New Roman" w:eastAsia="仿宋" w:cs="Times New Roman"/>
          <w:sz w:val="28"/>
          <w:szCs w:val="28"/>
        </w:rPr>
        <w:t>集中建设区范围，属于溧水副城城西重点城镇板块。片区范围内零星存在的耕地已不适合耕种，该片区周围以建成的居住区、老城区为主，实施土地征收主要用于居住、公共服务和商业设施的建设，有助于溧水副城城镇结构完善</w:t>
      </w:r>
      <w:r>
        <w:rPr>
          <w:rFonts w:hint="eastAsia" w:ascii="Times New Roman" w:hAnsi="Times New Roman" w:eastAsia="仿宋" w:cs="Times New Roman"/>
          <w:sz w:val="28"/>
          <w:szCs w:val="28"/>
        </w:rPr>
        <w:t>、</w:t>
      </w:r>
      <w:r>
        <w:rPr>
          <w:rFonts w:ascii="Times New Roman" w:hAnsi="Times New Roman" w:eastAsia="仿宋" w:cs="Times New Roman"/>
          <w:sz w:val="28"/>
          <w:szCs w:val="28"/>
        </w:rPr>
        <w:t>城市服务品质提高和土地利用效率提升。</w:t>
      </w:r>
    </w:p>
    <w:p>
      <w:pPr>
        <w:spacing w:line="580" w:lineRule="exact"/>
        <w:ind w:firstLine="562" w:firstLineChars="201"/>
        <w:rPr>
          <w:rFonts w:ascii="Times New Roman" w:hAnsi="Times New Roman" w:eastAsia="仿宋" w:cs="Times New Roman"/>
          <w:b/>
          <w:sz w:val="28"/>
          <w:szCs w:val="28"/>
        </w:rPr>
      </w:pPr>
      <w:r>
        <w:rPr>
          <w:rFonts w:ascii="Times New Roman" w:hAnsi="Times New Roman" w:eastAsia="仿宋" w:cs="Times New Roman"/>
          <w:b/>
          <w:sz w:val="28"/>
          <w:szCs w:val="28"/>
        </w:rPr>
        <w:t>3、</w:t>
      </w:r>
      <w:r>
        <w:rPr>
          <w:rFonts w:hint="eastAsia" w:ascii="Times New Roman" w:hAnsi="Times New Roman" w:eastAsia="仿宋" w:cs="Times New Roman"/>
          <w:b/>
          <w:sz w:val="28"/>
          <w:szCs w:val="28"/>
        </w:rPr>
        <w:t>有利于农贸市场转型，完善农产品物流零售体系</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本次方案范围内现状农副产品交易中心亟需提档升级，针对原地块进行拆除重建，新建的农产品综合物流交易中心将完成全区农副产品由零售向批发物流配送的转型，进一步释放社区菜场零售功能，从而构建科学、高效的农副产品物流零售体系，多层次满足居民对农副产品的品质需求，为全民社区服务提供土地要素保障</w:t>
      </w:r>
      <w:r>
        <w:rPr>
          <w:rFonts w:ascii="Times New Roman" w:hAnsi="Times New Roman" w:eastAsia="仿宋" w:cs="Times New Roman"/>
          <w:sz w:val="28"/>
          <w:szCs w:val="28"/>
        </w:rPr>
        <w:t>。</w:t>
      </w:r>
    </w:p>
    <w:p>
      <w:pPr>
        <w:pStyle w:val="11"/>
        <w:spacing w:line="580" w:lineRule="exact"/>
        <w:ind w:left="562" w:firstLine="0" w:firstLineChars="0"/>
        <w:rPr>
          <w:rFonts w:ascii="方正公文黑体" w:hAnsi="方正公文黑体" w:eastAsia="方正公文黑体" w:cs="Times New Roman"/>
          <w:sz w:val="28"/>
          <w:szCs w:val="28"/>
        </w:rPr>
      </w:pPr>
      <w:r>
        <w:rPr>
          <w:rFonts w:ascii="方正公文黑体" w:hAnsi="方正公文黑体" w:eastAsia="方正公文黑体" w:cs="Times New Roman"/>
          <w:sz w:val="28"/>
          <w:szCs w:val="28"/>
        </w:rPr>
        <w:t>四、建设实施计划</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本方案实施期限为2024年至2029年，计划在5年内完成项目实施。</w:t>
      </w:r>
    </w:p>
    <w:p>
      <w:pPr>
        <w:pStyle w:val="11"/>
        <w:spacing w:line="580" w:lineRule="exact"/>
        <w:ind w:left="562" w:firstLine="0" w:firstLineChars="0"/>
        <w:rPr>
          <w:rFonts w:ascii="方正公文黑体" w:hAnsi="方正公文黑体" w:eastAsia="方正公文黑体" w:cs="Times New Roman"/>
          <w:sz w:val="28"/>
          <w:szCs w:val="28"/>
        </w:rPr>
      </w:pPr>
      <w:r>
        <w:rPr>
          <w:rFonts w:ascii="方正公文黑体" w:hAnsi="方正公文黑体" w:eastAsia="方正公文黑体" w:cs="Times New Roman"/>
          <w:sz w:val="28"/>
          <w:szCs w:val="28"/>
        </w:rPr>
        <w:t>五、规划符合性</w:t>
      </w:r>
    </w:p>
    <w:p>
      <w:pPr>
        <w:spacing w:line="580" w:lineRule="exact"/>
        <w:ind w:firstLine="562" w:firstLineChars="201"/>
        <w:rPr>
          <w:rFonts w:ascii="Times New Roman" w:hAnsi="Times New Roman" w:eastAsia="仿宋" w:cs="Times New Roman"/>
          <w:b/>
          <w:sz w:val="28"/>
          <w:szCs w:val="28"/>
        </w:rPr>
      </w:pPr>
      <w:r>
        <w:rPr>
          <w:rFonts w:ascii="Times New Roman" w:hAnsi="Times New Roman" w:eastAsia="仿宋" w:cs="Times New Roman"/>
          <w:b/>
          <w:sz w:val="28"/>
          <w:szCs w:val="28"/>
        </w:rPr>
        <w:t>1、国民经济和社会发展规划、年度计划</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本方案符合《南京市溧水区国民经济和社会发展第十四个五年规划和二〇三五年远景目标纲要》，符合《溧水区202</w:t>
      </w:r>
      <w:r>
        <w:rPr>
          <w:rFonts w:hint="eastAsia" w:ascii="Times New Roman" w:hAnsi="Times New Roman" w:eastAsia="仿宋" w:cs="Times New Roman"/>
          <w:sz w:val="28"/>
          <w:szCs w:val="28"/>
        </w:rPr>
        <w:t>4</w:t>
      </w:r>
      <w:r>
        <w:rPr>
          <w:rFonts w:ascii="Times New Roman" w:hAnsi="Times New Roman" w:eastAsia="仿宋" w:cs="Times New Roman"/>
          <w:sz w:val="28"/>
          <w:szCs w:val="28"/>
        </w:rPr>
        <w:t>年度国民经济和社会发展年度计划》。</w:t>
      </w:r>
    </w:p>
    <w:p>
      <w:pPr>
        <w:spacing w:line="580" w:lineRule="exact"/>
        <w:ind w:firstLine="562" w:firstLineChars="201"/>
        <w:rPr>
          <w:rFonts w:ascii="Times New Roman" w:hAnsi="Times New Roman" w:eastAsia="仿宋" w:cs="Times New Roman"/>
          <w:b/>
          <w:sz w:val="28"/>
          <w:szCs w:val="28"/>
        </w:rPr>
      </w:pPr>
      <w:r>
        <w:rPr>
          <w:rFonts w:ascii="Times New Roman" w:hAnsi="Times New Roman" w:eastAsia="仿宋" w:cs="Times New Roman"/>
          <w:b/>
          <w:sz w:val="28"/>
          <w:szCs w:val="28"/>
        </w:rPr>
        <w:t>2、符合国土空间规划情况</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本方案符合报批版《溧水区国土空间总体规划（2021-2035年）》明确的城镇发展格局，位于城镇开发边界内，不涉及永久基本农田和生态保护红线等底线管控要素。</w:t>
      </w:r>
    </w:p>
    <w:p>
      <w:pPr>
        <w:spacing w:line="580" w:lineRule="exact"/>
        <w:ind w:firstLine="562" w:firstLineChars="201"/>
        <w:rPr>
          <w:rFonts w:ascii="Times New Roman" w:hAnsi="Times New Roman" w:eastAsia="仿宋" w:cs="Times New Roman"/>
          <w:b/>
          <w:sz w:val="28"/>
          <w:szCs w:val="28"/>
        </w:rPr>
      </w:pPr>
      <w:r>
        <w:rPr>
          <w:rFonts w:ascii="Times New Roman" w:hAnsi="Times New Roman" w:eastAsia="仿宋" w:cs="Times New Roman"/>
          <w:b/>
          <w:sz w:val="28"/>
          <w:szCs w:val="28"/>
        </w:rPr>
        <w:t>3、公益性用地比例</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本方案属于城市新区类型，公益性用地比例为4</w:t>
      </w:r>
      <w:r>
        <w:rPr>
          <w:rFonts w:ascii="Times New Roman" w:hAnsi="Times New Roman" w:eastAsia="仿宋" w:cs="Times New Roman"/>
          <w:sz w:val="28"/>
          <w:szCs w:val="28"/>
        </w:rPr>
        <w:t>9.35%</w:t>
      </w:r>
      <w:r>
        <w:rPr>
          <w:rFonts w:hint="eastAsia" w:ascii="Times New Roman" w:hAnsi="Times New Roman" w:eastAsia="仿宋" w:cs="Times New Roman"/>
          <w:sz w:val="28"/>
          <w:szCs w:val="28"/>
        </w:rPr>
        <w:t>，达到《江苏省自然资源厅关于加快推进土地征收成片开发方案编制工作的通知》（苏自然资发〔</w:t>
      </w:r>
      <w:r>
        <w:rPr>
          <w:rFonts w:ascii="Times New Roman" w:hAnsi="Times New Roman" w:eastAsia="仿宋" w:cs="Times New Roman"/>
          <w:sz w:val="28"/>
          <w:szCs w:val="28"/>
        </w:rPr>
        <w:t>2021〕138号）规定的比例要求，不存在不予批准的情形。</w:t>
      </w:r>
    </w:p>
    <w:p>
      <w:pPr>
        <w:pStyle w:val="11"/>
        <w:spacing w:line="580" w:lineRule="exact"/>
        <w:ind w:left="562" w:firstLine="0" w:firstLineChars="0"/>
        <w:rPr>
          <w:rFonts w:ascii="Times New Roman" w:hAnsi="Times New Roman" w:eastAsia="仿宋" w:cs="Times New Roman"/>
          <w:b/>
          <w:sz w:val="28"/>
          <w:szCs w:val="28"/>
        </w:rPr>
      </w:pPr>
      <w:r>
        <w:rPr>
          <w:rFonts w:ascii="方正公文黑体" w:hAnsi="方正公文黑体" w:eastAsia="方正公文黑体" w:cs="Times New Roman"/>
          <w:sz w:val="28"/>
          <w:szCs w:val="28"/>
        </w:rPr>
        <w:t>六、被征地农民利益保障</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根据《中华人民共和国土地管理法》《江苏省被征地农民社会保障办法》（苏政发〔2021〕87号）《省政府关于重新公布江苏省征地区片综合地价最低标准的通知》（苏政规〔2023〕12号）</w:t>
      </w:r>
      <w:r>
        <w:rPr>
          <w:rFonts w:hint="eastAsia" w:ascii="Times New Roman" w:hAnsi="Times New Roman" w:eastAsia="仿宋" w:cs="Times New Roman"/>
          <w:sz w:val="28"/>
          <w:szCs w:val="28"/>
        </w:rPr>
        <w:t>《市政府关于重新公布征地区片综合地价执行标准的通知》（宁政规字〔202</w:t>
      </w:r>
      <w:r>
        <w:rPr>
          <w:rFonts w:ascii="Times New Roman" w:hAnsi="Times New Roman" w:eastAsia="仿宋" w:cs="Times New Roman"/>
          <w:sz w:val="28"/>
          <w:szCs w:val="28"/>
        </w:rPr>
        <w:t>4</w:t>
      </w:r>
      <w:r>
        <w:rPr>
          <w:rFonts w:hint="eastAsia" w:ascii="Times New Roman" w:hAnsi="Times New Roman" w:eastAsia="仿宋" w:cs="Times New Roman"/>
          <w:sz w:val="28"/>
          <w:szCs w:val="28"/>
        </w:rPr>
        <w:t>〕</w:t>
      </w:r>
      <w:r>
        <w:rPr>
          <w:rFonts w:ascii="Times New Roman" w:hAnsi="Times New Roman" w:eastAsia="仿宋" w:cs="Times New Roman"/>
          <w:sz w:val="28"/>
          <w:szCs w:val="28"/>
        </w:rPr>
        <w:t>1</w:t>
      </w:r>
      <w:r>
        <w:rPr>
          <w:rFonts w:hint="eastAsia" w:ascii="Times New Roman" w:hAnsi="Times New Roman" w:eastAsia="仿宋" w:cs="Times New Roman"/>
          <w:sz w:val="28"/>
          <w:szCs w:val="28"/>
        </w:rPr>
        <w:t>号）《南京市溧水区人民政府关于重新公布溧水区征地区片综合地价标准的通知》（溧政规〔202</w:t>
      </w:r>
      <w:r>
        <w:rPr>
          <w:rFonts w:ascii="Times New Roman" w:hAnsi="Times New Roman" w:eastAsia="仿宋" w:cs="Times New Roman"/>
          <w:sz w:val="28"/>
          <w:szCs w:val="28"/>
        </w:rPr>
        <w:t>4</w:t>
      </w:r>
      <w:r>
        <w:rPr>
          <w:rFonts w:hint="eastAsia" w:ascii="Times New Roman" w:hAnsi="Times New Roman" w:eastAsia="仿宋" w:cs="Times New Roman"/>
          <w:sz w:val="28"/>
          <w:szCs w:val="28"/>
        </w:rPr>
        <w:t>〕</w:t>
      </w:r>
      <w:r>
        <w:rPr>
          <w:rFonts w:ascii="Times New Roman" w:hAnsi="Times New Roman" w:eastAsia="仿宋" w:cs="Times New Roman"/>
          <w:sz w:val="28"/>
          <w:szCs w:val="28"/>
        </w:rPr>
        <w:t>2</w:t>
      </w:r>
      <w:r>
        <w:rPr>
          <w:rFonts w:hint="eastAsia" w:ascii="Times New Roman" w:hAnsi="Times New Roman" w:eastAsia="仿宋" w:cs="Times New Roman"/>
          <w:sz w:val="28"/>
          <w:szCs w:val="28"/>
        </w:rPr>
        <w:t>号）</w:t>
      </w:r>
      <w:r>
        <w:rPr>
          <w:rFonts w:ascii="Times New Roman" w:hAnsi="Times New Roman" w:eastAsia="仿宋" w:cs="Times New Roman"/>
          <w:sz w:val="28"/>
          <w:szCs w:val="28"/>
        </w:rPr>
        <w:t>《南京市溧水区人民政府关于调整溧水区青苗和地上附着物征地补偿标准的通知》（溧政发〔2020〕128号）等法律法规和政策要求，落实征地补偿安置，相关补偿款及时到位，充分维护被征地农民和农村集体经济组织的合法权益，规范征地补偿程序，通过货币安置、社保安置、搬迁安置相结合的安置方式，妥善解决被征地农民的生产和生活。</w:t>
      </w:r>
    </w:p>
    <w:p>
      <w:pPr>
        <w:pStyle w:val="11"/>
        <w:spacing w:line="580" w:lineRule="exact"/>
        <w:ind w:left="562" w:firstLine="0" w:firstLineChars="0"/>
        <w:rPr>
          <w:rFonts w:ascii="方正公文黑体" w:hAnsi="方正公文黑体" w:eastAsia="方正公文黑体" w:cs="Times New Roman"/>
          <w:sz w:val="28"/>
          <w:szCs w:val="28"/>
        </w:rPr>
      </w:pPr>
      <w:bookmarkStart w:id="0" w:name="OLE_LINK1"/>
      <w:bookmarkStart w:id="1" w:name="OLE_LINK2"/>
      <w:r>
        <w:rPr>
          <w:rFonts w:hint="eastAsia" w:ascii="方正公文黑体" w:hAnsi="方正公文黑体" w:eastAsia="方正公文黑体" w:cs="Times New Roman"/>
          <w:sz w:val="28"/>
          <w:szCs w:val="28"/>
        </w:rPr>
        <w:t>七、结论</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《溧水区2</w:t>
      </w:r>
      <w:r>
        <w:rPr>
          <w:rFonts w:ascii="Times New Roman" w:hAnsi="Times New Roman" w:eastAsia="仿宋" w:cs="Times New Roman"/>
          <w:sz w:val="28"/>
          <w:szCs w:val="28"/>
        </w:rPr>
        <w:t>024-03</w:t>
      </w:r>
      <w:r>
        <w:rPr>
          <w:rFonts w:hint="eastAsia" w:ascii="Times New Roman" w:hAnsi="Times New Roman" w:eastAsia="仿宋" w:cs="Times New Roman"/>
          <w:sz w:val="28"/>
          <w:szCs w:val="28"/>
        </w:rPr>
        <w:t>号土地征收成片开发方案</w:t>
      </w:r>
      <w:r>
        <w:rPr>
          <w:rFonts w:ascii="Times New Roman" w:hAnsi="Times New Roman" w:eastAsia="仿宋" w:cs="Times New Roman"/>
          <w:sz w:val="28"/>
          <w:szCs w:val="28"/>
        </w:rPr>
        <w:t>（征求意见稿）</w:t>
      </w:r>
      <w:r>
        <w:rPr>
          <w:rFonts w:hint="eastAsia" w:ascii="Times New Roman" w:hAnsi="Times New Roman" w:eastAsia="仿宋" w:cs="Times New Roman"/>
          <w:sz w:val="28"/>
          <w:szCs w:val="28"/>
        </w:rPr>
        <w:t>》符合自然资源部、省自然资源厅和市规划资源局明确的土地征收成片开发方案编制标准，做到了保护耕地、维护农民合法权益、节约集约用地、保护生态环境，能够促进社会经济的可持续发展。</w:t>
      </w:r>
    </w:p>
    <w:bookmarkEnd w:id="0"/>
    <w:bookmarkEnd w:id="1"/>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pPr>
    </w:p>
    <w:p>
      <w:pPr>
        <w:spacing w:line="590" w:lineRule="exact"/>
        <w:rPr>
          <w:rFonts w:ascii="Times New Roman" w:hAnsi="Times New Roman" w:eastAsia="仿宋" w:cs="Times New Roman"/>
          <w:sz w:val="28"/>
          <w:szCs w:val="28"/>
        </w:rPr>
        <w:sectPr>
          <w:pgSz w:w="11906" w:h="16838"/>
          <w:pgMar w:top="1440" w:right="1800" w:bottom="1440" w:left="1800" w:header="851" w:footer="992" w:gutter="0"/>
          <w:cols w:space="425" w:num="1"/>
          <w:docGrid w:type="linesAndChars" w:linePitch="312" w:charSpace="0"/>
        </w:sectPr>
      </w:pPr>
    </w:p>
    <w:p>
      <w:pPr>
        <w:overflowPunct w:val="0"/>
        <w:spacing w:before="117" w:line="218" w:lineRule="auto"/>
        <w:ind w:left="1468"/>
        <w:outlineLvl w:val="2"/>
        <w:rPr>
          <w:rFonts w:ascii="黑体" w:hAnsi="黑体" w:eastAsia="黑体" w:cs="黑体"/>
          <w:b/>
          <w:bCs/>
          <w:spacing w:val="-6"/>
          <w:sz w:val="36"/>
          <w:szCs w:val="36"/>
        </w:rPr>
      </w:pPr>
      <w:r>
        <w:rPr>
          <w:rFonts w:hint="eastAsia" w:ascii="Times New Roman" w:hAnsi="Times New Roman" w:eastAsia="仿宋" w:cs="Times New Roman"/>
          <w:sz w:val="28"/>
          <w:szCs w:val="28"/>
        </w:rPr>
        <w:t>附图:</w:t>
      </w:r>
      <w:r>
        <w:rPr>
          <w:rFonts w:ascii="黑体" w:hAnsi="黑体" w:eastAsia="黑体" w:cs="黑体"/>
          <w:b/>
          <w:bCs/>
          <w:spacing w:val="-6"/>
          <w:sz w:val="36"/>
          <w:szCs w:val="36"/>
        </w:rPr>
        <w:t xml:space="preserve"> </w:t>
      </w:r>
    </w:p>
    <w:p>
      <w:pPr>
        <w:overflowPunct w:val="0"/>
        <w:spacing w:before="117" w:line="218" w:lineRule="auto"/>
        <w:jc w:val="center"/>
        <w:outlineLvl w:val="2"/>
        <w:rPr>
          <w:rFonts w:ascii="黑体" w:hAnsi="黑体" w:eastAsia="黑体" w:cs="黑体"/>
          <w:b/>
          <w:bCs/>
          <w:spacing w:val="-6"/>
          <w:sz w:val="36"/>
          <w:szCs w:val="36"/>
        </w:rPr>
      </w:pPr>
      <w:r>
        <w:rPr>
          <w:rFonts w:ascii="黑体" w:hAnsi="黑体" w:eastAsia="黑体" w:cs="黑体"/>
          <w:b/>
          <w:bCs/>
          <w:spacing w:val="-6"/>
          <w:sz w:val="36"/>
          <w:szCs w:val="36"/>
        </w:rPr>
        <w:t>溧水区</w:t>
      </w:r>
      <w:r>
        <w:rPr>
          <w:rFonts w:hint="eastAsia" w:ascii="黑体" w:hAnsi="黑体" w:eastAsia="黑体" w:cs="黑体"/>
          <w:b/>
          <w:bCs/>
          <w:spacing w:val="-6"/>
          <w:sz w:val="36"/>
          <w:szCs w:val="36"/>
        </w:rPr>
        <w:t>2024-03</w:t>
      </w:r>
      <w:r>
        <w:rPr>
          <w:rFonts w:ascii="黑体" w:hAnsi="黑体" w:eastAsia="黑体" w:cs="黑体"/>
          <w:b/>
          <w:bCs/>
          <w:spacing w:val="-6"/>
          <w:sz w:val="36"/>
          <w:szCs w:val="36"/>
        </w:rPr>
        <w:t>号</w:t>
      </w:r>
      <w:bookmarkStart w:id="2" w:name="OLE_LINK5"/>
      <w:r>
        <w:rPr>
          <w:rFonts w:ascii="黑体" w:hAnsi="黑体" w:eastAsia="黑体" w:cs="黑体"/>
          <w:b/>
          <w:bCs/>
          <w:spacing w:val="-6"/>
          <w:sz w:val="36"/>
          <w:szCs w:val="36"/>
        </w:rPr>
        <w:t>土地征收成片开发</w:t>
      </w:r>
      <w:bookmarkEnd w:id="2"/>
      <w:r>
        <w:rPr>
          <w:rFonts w:ascii="黑体" w:hAnsi="黑体" w:eastAsia="黑体" w:cs="黑体"/>
          <w:b/>
          <w:bCs/>
          <w:spacing w:val="-6"/>
          <w:sz w:val="36"/>
          <w:szCs w:val="36"/>
        </w:rPr>
        <w:t>方案范围示意图</w:t>
      </w:r>
    </w:p>
    <w:p>
      <w:pPr>
        <w:jc w:val="center"/>
      </w:pPr>
      <w:r>
        <w:rPr>
          <w:rFonts w:hint="eastAsia"/>
        </w:rPr>
        <w:drawing>
          <wp:inline distT="0" distB="0" distL="0" distR="0">
            <wp:extent cx="7656830" cy="5264785"/>
            <wp:effectExtent l="0" t="0" r="127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
                      <a:extLst>
                        <a:ext uri="{28A0092B-C50C-407E-A947-70E740481C1C}">
                          <a14:useLocalDpi xmlns:a14="http://schemas.microsoft.com/office/drawing/2010/main" val="0"/>
                        </a:ext>
                      </a:extLst>
                    </a:blip>
                    <a:srcRect r="1104"/>
                    <a:stretch>
                      <a:fillRect/>
                    </a:stretch>
                  </pic:blipFill>
                  <pic:spPr>
                    <a:xfrm>
                      <a:off x="0" y="0"/>
                      <a:ext cx="7668261" cy="5272760"/>
                    </a:xfrm>
                    <a:prstGeom prst="rect">
                      <a:avLst/>
                    </a:prstGeom>
                    <a:noFill/>
                    <a:ln>
                      <a:noFill/>
                    </a:ln>
                  </pic:spPr>
                </pic:pic>
              </a:graphicData>
            </a:graphic>
          </wp:inline>
        </w:drawing>
      </w:r>
    </w:p>
    <w:p>
      <w:pPr>
        <w:jc w:val="center"/>
        <w:rPr>
          <w:rFonts w:ascii="Times New Roman" w:hAnsi="Times New Roman" w:eastAsia="仿宋" w:cs="Times New Roman"/>
          <w:sz w:val="24"/>
          <w:szCs w:val="28"/>
        </w:rPr>
      </w:pPr>
      <w:r>
        <w:rPr>
          <w:rFonts w:hint="eastAsia" w:ascii="Times New Roman" w:hAnsi="Times New Roman" w:eastAsia="仿宋" w:cs="Times New Roman"/>
          <w:sz w:val="24"/>
          <w:szCs w:val="28"/>
        </w:rPr>
        <w:t>（片区范围以最终批复版为准）</w:t>
      </w:r>
    </w:p>
    <w:sectPr>
      <w:pgSz w:w="16838" w:h="11906" w:orient="landscape"/>
      <w:pgMar w:top="851" w:right="1440" w:bottom="709"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方正小标宋_GBK">
    <w:panose1 w:val="03000509000000000000"/>
    <w:charset w:val="86"/>
    <w:family w:val="script"/>
    <w:pitch w:val="default"/>
    <w:sig w:usb0="00000001" w:usb1="080E0000" w:usb2="00000000" w:usb3="00000000" w:csb0="00040000" w:csb1="00000000"/>
  </w:font>
  <w:font w:name="方正公文黑体">
    <w:altName w:val="黑体"/>
    <w:panose1 w:val="02000500000000000000"/>
    <w:charset w:val="86"/>
    <w:family w:val="auto"/>
    <w:pitch w:val="default"/>
    <w:sig w:usb0="00000000" w:usb1="00000000" w:usb2="00000016" w:usb3="00000000" w:csb0="00040001" w:csb1="00000000"/>
  </w:font>
  <w:font w:name="仿宋_GB2312">
    <w:panose1 w:val="02010609030101010101"/>
    <w:charset w:val="86"/>
    <w:family w:val="modern"/>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018C"/>
    <w:rsid w:val="00006F45"/>
    <w:rsid w:val="000A25BB"/>
    <w:rsid w:val="000E4039"/>
    <w:rsid w:val="001159A7"/>
    <w:rsid w:val="001406A8"/>
    <w:rsid w:val="00153195"/>
    <w:rsid w:val="00184B1B"/>
    <w:rsid w:val="00193C13"/>
    <w:rsid w:val="001973BB"/>
    <w:rsid w:val="001A24AB"/>
    <w:rsid w:val="001C018C"/>
    <w:rsid w:val="001C6ED8"/>
    <w:rsid w:val="001D7404"/>
    <w:rsid w:val="001F10C0"/>
    <w:rsid w:val="0021316C"/>
    <w:rsid w:val="002206D7"/>
    <w:rsid w:val="00231E54"/>
    <w:rsid w:val="00241224"/>
    <w:rsid w:val="00282612"/>
    <w:rsid w:val="002A0DA8"/>
    <w:rsid w:val="002A2385"/>
    <w:rsid w:val="002C01AD"/>
    <w:rsid w:val="0039704F"/>
    <w:rsid w:val="003A73E2"/>
    <w:rsid w:val="003C7323"/>
    <w:rsid w:val="003D16F4"/>
    <w:rsid w:val="00443300"/>
    <w:rsid w:val="00455265"/>
    <w:rsid w:val="004B0CA6"/>
    <w:rsid w:val="004C472A"/>
    <w:rsid w:val="005054B2"/>
    <w:rsid w:val="00515D56"/>
    <w:rsid w:val="00532A4E"/>
    <w:rsid w:val="00563974"/>
    <w:rsid w:val="005728FD"/>
    <w:rsid w:val="005D3526"/>
    <w:rsid w:val="0066325A"/>
    <w:rsid w:val="006F466B"/>
    <w:rsid w:val="006F5850"/>
    <w:rsid w:val="00734101"/>
    <w:rsid w:val="00781E9F"/>
    <w:rsid w:val="007A79D1"/>
    <w:rsid w:val="00840EA1"/>
    <w:rsid w:val="008513B0"/>
    <w:rsid w:val="00890511"/>
    <w:rsid w:val="008B0EFE"/>
    <w:rsid w:val="008B60D1"/>
    <w:rsid w:val="00920B13"/>
    <w:rsid w:val="00974870"/>
    <w:rsid w:val="00995377"/>
    <w:rsid w:val="00A17E1D"/>
    <w:rsid w:val="00A33684"/>
    <w:rsid w:val="00A65BD3"/>
    <w:rsid w:val="00A70DB8"/>
    <w:rsid w:val="00AB246B"/>
    <w:rsid w:val="00AD225A"/>
    <w:rsid w:val="00B41C53"/>
    <w:rsid w:val="00B72D8A"/>
    <w:rsid w:val="00B93086"/>
    <w:rsid w:val="00BC1483"/>
    <w:rsid w:val="00C10A2D"/>
    <w:rsid w:val="00C214AE"/>
    <w:rsid w:val="00C46A31"/>
    <w:rsid w:val="00CF377A"/>
    <w:rsid w:val="00D0216C"/>
    <w:rsid w:val="00D130D5"/>
    <w:rsid w:val="00D9089B"/>
    <w:rsid w:val="00DB5C64"/>
    <w:rsid w:val="00E31A70"/>
    <w:rsid w:val="00E54442"/>
    <w:rsid w:val="00E86618"/>
    <w:rsid w:val="00E9763D"/>
    <w:rsid w:val="00F532C8"/>
    <w:rsid w:val="00F868A0"/>
    <w:rsid w:val="00FC04F2"/>
    <w:rsid w:val="00FC68D4"/>
    <w:rsid w:val="00FD2B02"/>
    <w:rsid w:val="69F337F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semiHidden/>
    <w:unhideWhenUsed/>
    <w:qFormat/>
    <w:uiPriority w:val="99"/>
    <w:rPr>
      <w:sz w:val="18"/>
      <w:szCs w:val="18"/>
    </w:rPr>
  </w:style>
  <w:style w:type="paragraph" w:styleId="3">
    <w:name w:val="footer"/>
    <w:basedOn w:val="1"/>
    <w:link w:val="10"/>
    <w:unhideWhenUsed/>
    <w:qFormat/>
    <w:uiPriority w:val="99"/>
    <w:pPr>
      <w:tabs>
        <w:tab w:val="center" w:pos="4153"/>
        <w:tab w:val="right" w:pos="8306"/>
      </w:tabs>
      <w:snapToGrid w:val="0"/>
      <w:jc w:val="left"/>
    </w:pPr>
    <w:rPr>
      <w:sz w:val="18"/>
      <w:szCs w:val="18"/>
    </w:rPr>
  </w:style>
  <w:style w:type="paragraph" w:styleId="4">
    <w:name w:val="header"/>
    <w:basedOn w:val="1"/>
    <w:link w:val="9"/>
    <w:unhideWhenUsed/>
    <w:uiPriority w:val="99"/>
    <w:pPr>
      <w:pBdr>
        <w:bottom w:val="single" w:color="auto" w:sz="6" w:space="1"/>
      </w:pBdr>
      <w:tabs>
        <w:tab w:val="center" w:pos="4153"/>
        <w:tab w:val="right" w:pos="8306"/>
      </w:tabs>
      <w:snapToGrid w:val="0"/>
      <w:jc w:val="center"/>
    </w:pPr>
    <w:rPr>
      <w:sz w:val="18"/>
      <w:szCs w:val="18"/>
    </w:rPr>
  </w:style>
  <w:style w:type="character" w:styleId="7">
    <w:name w:val="Emphasis"/>
    <w:basedOn w:val="6"/>
    <w:qFormat/>
    <w:uiPriority w:val="20"/>
    <w:rPr>
      <w:i/>
      <w:iCs/>
    </w:rPr>
  </w:style>
  <w:style w:type="character" w:styleId="8">
    <w:name w:val="Hyperlink"/>
    <w:basedOn w:val="6"/>
    <w:unhideWhenUsed/>
    <w:uiPriority w:val="99"/>
    <w:rPr>
      <w:color w:val="0563C1" w:themeColor="hyperlink"/>
      <w:u w:val="single"/>
      <w14:textFill>
        <w14:solidFill>
          <w14:schemeClr w14:val="hlink"/>
        </w14:solidFill>
      </w14:textFill>
    </w:rPr>
  </w:style>
  <w:style w:type="character" w:customStyle="1" w:styleId="9">
    <w:name w:val="页眉 Char"/>
    <w:basedOn w:val="6"/>
    <w:link w:val="4"/>
    <w:uiPriority w:val="99"/>
    <w:rPr>
      <w:sz w:val="18"/>
      <w:szCs w:val="18"/>
    </w:rPr>
  </w:style>
  <w:style w:type="character" w:customStyle="1" w:styleId="10">
    <w:name w:val="页脚 Char"/>
    <w:basedOn w:val="6"/>
    <w:link w:val="3"/>
    <w:qFormat/>
    <w:uiPriority w:val="99"/>
    <w:rPr>
      <w:sz w:val="18"/>
      <w:szCs w:val="18"/>
    </w:rPr>
  </w:style>
  <w:style w:type="paragraph" w:styleId="11">
    <w:name w:val="List Paragraph"/>
    <w:basedOn w:val="1"/>
    <w:qFormat/>
    <w:uiPriority w:val="34"/>
    <w:pPr>
      <w:ind w:firstLine="420" w:firstLineChars="200"/>
    </w:pPr>
  </w:style>
  <w:style w:type="character" w:customStyle="1" w:styleId="12">
    <w:name w:val="批注框文本 Char"/>
    <w:basedOn w:val="6"/>
    <w:link w:val="2"/>
    <w:semiHidden/>
    <w:uiPriority w:val="99"/>
    <w:rPr>
      <w:sz w:val="18"/>
      <w:szCs w:val="18"/>
    </w:rPr>
  </w:style>
  <w:style w:type="paragraph" w:customStyle="1" w:styleId="13">
    <w:name w:val="Revision"/>
    <w:hidden/>
    <w:semiHidden/>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image" Target="media/image1.emf"/><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Pages>
  <Words>265</Words>
  <Characters>1512</Characters>
  <Lines>12</Lines>
  <Paragraphs>3</Paragraphs>
  <TotalTime>0</TotalTime>
  <ScaleCrop>false</ScaleCrop>
  <LinksUpToDate>false</LinksUpToDate>
  <CharactersWithSpaces>1774</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2023-12-05T06:40:00Z</dcterms:created>
  <dc:creator>admin</dc:creator>
  <cp:lastModifiedBy>池星辰(chixingchen)</cp:lastModifiedBy>
  <cp:lastPrinted>2024-10-10T02:25:00Z</cp:lastPrinted>
  <dcterms:modified xsi:type="dcterms:W3CDTF">2024-10-11T08:29:33Z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