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Times New Roman" w:hAnsi="Times New Roman" w:eastAsia="方正小标宋_GBK" w:cs="Times New Roman"/>
          <w:spacing w:val="-20"/>
          <w:sz w:val="40"/>
          <w:szCs w:val="44"/>
        </w:rPr>
      </w:pPr>
      <w:r>
        <w:rPr>
          <w:rFonts w:hint="eastAsia" w:ascii="Times New Roman" w:hAnsi="Times New Roman" w:eastAsia="方正小标宋_GBK" w:cs="Times New Roman"/>
          <w:spacing w:val="-20"/>
          <w:sz w:val="40"/>
          <w:szCs w:val="44"/>
        </w:rPr>
        <w:t>溧水区三山湖东商务核心片区(C</w:t>
      </w:r>
      <w:r>
        <w:rPr>
          <w:rFonts w:ascii="Times New Roman" w:hAnsi="Times New Roman" w:eastAsia="方正小标宋_GBK" w:cs="Times New Roman"/>
          <w:spacing w:val="-20"/>
          <w:sz w:val="40"/>
          <w:szCs w:val="44"/>
        </w:rPr>
        <w:t>P320117-2021-01-01</w:t>
      </w:r>
      <w:r>
        <w:rPr>
          <w:rFonts w:hint="eastAsia" w:ascii="Times New Roman" w:hAnsi="Times New Roman" w:eastAsia="方正小标宋_GBK" w:cs="Times New Roman"/>
          <w:spacing w:val="-20"/>
          <w:sz w:val="40"/>
          <w:szCs w:val="44"/>
        </w:rPr>
        <w:t>)、城南国际教育基地片区(C</w:t>
      </w:r>
      <w:r>
        <w:rPr>
          <w:rFonts w:ascii="Times New Roman" w:hAnsi="Times New Roman" w:eastAsia="方正小标宋_GBK" w:cs="Times New Roman"/>
          <w:spacing w:val="-20"/>
          <w:sz w:val="40"/>
          <w:szCs w:val="44"/>
        </w:rPr>
        <w:t>P320117-2021-01-06</w:t>
      </w:r>
      <w:r>
        <w:rPr>
          <w:rFonts w:hint="eastAsia" w:ascii="Times New Roman" w:hAnsi="Times New Roman" w:eastAsia="方正小标宋_GBK" w:cs="Times New Roman"/>
          <w:spacing w:val="-20"/>
          <w:sz w:val="40"/>
          <w:szCs w:val="44"/>
        </w:rPr>
        <w:t>)土地征收成片开发调整方案</w:t>
      </w:r>
      <w:r>
        <w:rPr>
          <w:rFonts w:ascii="Times New Roman" w:hAnsi="Times New Roman" w:eastAsia="方正小标宋_GBK" w:cs="Times New Roman"/>
          <w:spacing w:val="-20"/>
          <w:sz w:val="40"/>
          <w:szCs w:val="44"/>
        </w:rPr>
        <w:t>（征求意见稿）</w:t>
      </w:r>
    </w:p>
    <w:p>
      <w:pPr>
        <w:spacing w:line="360" w:lineRule="auto"/>
        <w:jc w:val="center"/>
        <w:rPr>
          <w:rFonts w:ascii="Times New Roman" w:hAnsi="Times New Roman" w:eastAsia="方正小标宋_GBK" w:cs="Times New Roman"/>
          <w:sz w:val="40"/>
          <w:szCs w:val="44"/>
        </w:rPr>
      </w:pPr>
    </w:p>
    <w:p>
      <w:pPr>
        <w:pStyle w:val="12"/>
        <w:spacing w:line="580" w:lineRule="exact"/>
        <w:ind w:left="562" w:firstLine="0" w:firstLineChars="0"/>
        <w:rPr>
          <w:rFonts w:ascii="Times New Roman" w:hAnsi="Times New Roman" w:eastAsia="仿宋" w:cs="Times New Roman"/>
          <w:b/>
          <w:sz w:val="28"/>
          <w:szCs w:val="28"/>
        </w:rPr>
      </w:pPr>
      <w:r>
        <w:rPr>
          <w:rFonts w:ascii="Times New Roman" w:hAnsi="Times New Roman" w:eastAsia="仿宋" w:cs="Times New Roman"/>
          <w:b/>
          <w:sz w:val="28"/>
          <w:szCs w:val="28"/>
        </w:rPr>
        <w:t>一、编制依据</w:t>
      </w:r>
    </w:p>
    <w:p>
      <w:pPr>
        <w:spacing w:line="580" w:lineRule="exact"/>
        <w:ind w:firstLine="560" w:firstLineChars="200"/>
        <w:rPr>
          <w:rFonts w:ascii="Times New Roman" w:hAnsi="Times New Roman" w:eastAsia="仿宋" w:cs="Times New Roman"/>
          <w:b/>
          <w:bCs/>
          <w:sz w:val="28"/>
          <w:szCs w:val="28"/>
        </w:rPr>
      </w:pPr>
      <w:r>
        <w:rPr>
          <w:rFonts w:ascii="Times New Roman" w:hAnsi="Times New Roman" w:eastAsia="仿宋" w:cs="Times New Roman"/>
          <w:b/>
          <w:bCs/>
          <w:sz w:val="28"/>
          <w:szCs w:val="28"/>
        </w:rPr>
        <w:t>1、法律法规</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《中华人民共和国土地管理法》（2019修正版）</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《中华人民共和国土地管理法实施条例》</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《中华人民共和国城乡规划法》</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《基本农田保护条例》</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《江苏省土地管理条例》</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《江苏省土壤污染防治条例》</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《中华人民共和国</w:t>
      </w:r>
      <w:bookmarkStart w:id="0" w:name="_GoBack"/>
      <w:bookmarkEnd w:id="0"/>
      <w:r>
        <w:rPr>
          <w:rFonts w:ascii="Times New Roman" w:hAnsi="Times New Roman" w:eastAsia="仿宋" w:cs="Times New Roman"/>
          <w:sz w:val="28"/>
          <w:szCs w:val="28"/>
        </w:rPr>
        <w:t>村民委员会组织法》</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《中华人民共和国</w:t>
      </w:r>
      <w:r>
        <w:rPr>
          <w:rFonts w:hint="eastAsia" w:ascii="Times New Roman" w:hAnsi="Times New Roman" w:eastAsia="仿宋" w:cs="Times New Roman"/>
          <w:sz w:val="28"/>
          <w:szCs w:val="28"/>
          <w:lang w:val="en-US" w:eastAsia="zh-CN"/>
        </w:rPr>
        <w:t>城市</w:t>
      </w:r>
      <w:r>
        <w:rPr>
          <w:rFonts w:ascii="Times New Roman" w:hAnsi="Times New Roman" w:eastAsia="仿宋" w:cs="Times New Roman"/>
          <w:sz w:val="28"/>
          <w:szCs w:val="28"/>
        </w:rPr>
        <w:t>居民委员会组织法》</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其他相关法律法规</w:t>
      </w:r>
    </w:p>
    <w:p>
      <w:pPr>
        <w:spacing w:line="580" w:lineRule="exact"/>
        <w:ind w:firstLine="560" w:firstLineChars="200"/>
        <w:rPr>
          <w:rFonts w:ascii="Times New Roman" w:hAnsi="Times New Roman" w:eastAsia="仿宋" w:cs="Times New Roman"/>
          <w:b/>
          <w:bCs/>
          <w:sz w:val="28"/>
          <w:szCs w:val="28"/>
        </w:rPr>
      </w:pPr>
      <w:r>
        <w:rPr>
          <w:rFonts w:ascii="Times New Roman" w:hAnsi="Times New Roman" w:eastAsia="仿宋" w:cs="Times New Roman"/>
          <w:b/>
          <w:bCs/>
          <w:sz w:val="28"/>
          <w:szCs w:val="28"/>
        </w:rPr>
        <w:t>2、政策文件</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《自然资源部关于印发</w:t>
      </w:r>
      <w:r>
        <w:rPr>
          <w:rFonts w:hint="eastAsia" w:ascii="Times New Roman" w:hAnsi="Times New Roman" w:eastAsia="仿宋_GB2312" w:cs="Times New Roman"/>
          <w:color w:val="000000"/>
          <w:sz w:val="32"/>
          <w:szCs w:val="32"/>
        </w:rPr>
        <w:t>〈</w:t>
      </w:r>
      <w:r>
        <w:rPr>
          <w:rFonts w:ascii="Times New Roman" w:hAnsi="Times New Roman" w:eastAsia="仿宋" w:cs="Times New Roman"/>
          <w:sz w:val="28"/>
          <w:szCs w:val="28"/>
        </w:rPr>
        <w:t>土地征收成片开发标准</w:t>
      </w:r>
      <w:r>
        <w:rPr>
          <w:rFonts w:hint="eastAsia" w:ascii="Times New Roman" w:hAnsi="Times New Roman" w:eastAsia="仿宋_GB2312" w:cs="Times New Roman"/>
          <w:color w:val="000000"/>
          <w:sz w:val="32"/>
          <w:szCs w:val="32"/>
        </w:rPr>
        <w:t>〉</w:t>
      </w:r>
      <w:r>
        <w:rPr>
          <w:rFonts w:ascii="Times New Roman" w:hAnsi="Times New Roman" w:eastAsia="仿宋" w:cs="Times New Roman"/>
          <w:sz w:val="28"/>
          <w:szCs w:val="28"/>
        </w:rPr>
        <w:t>的通知》(自然资规〔2023〕7号)</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《江苏省自然资源厅关于开展土地征收成片开发方案编制工作的通知》（苏自然资函〔2021〕15号）</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《江苏省自然资源厅关于加快推进土地征收成片开发方案编制工作的通知》（苏自然资函〔2021〕138号）</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其他相关政策文件</w:t>
      </w:r>
    </w:p>
    <w:p>
      <w:pPr>
        <w:pStyle w:val="12"/>
        <w:spacing w:line="580" w:lineRule="exact"/>
        <w:ind w:left="562" w:firstLine="0" w:firstLineChars="0"/>
        <w:rPr>
          <w:rFonts w:ascii="Times New Roman" w:hAnsi="Times New Roman" w:eastAsia="仿宋" w:cs="Times New Roman"/>
          <w:b/>
          <w:sz w:val="28"/>
          <w:szCs w:val="28"/>
        </w:rPr>
      </w:pPr>
      <w:r>
        <w:rPr>
          <w:rFonts w:ascii="Times New Roman" w:hAnsi="Times New Roman" w:eastAsia="仿宋" w:cs="Times New Roman"/>
          <w:b/>
          <w:sz w:val="28"/>
          <w:szCs w:val="28"/>
        </w:rPr>
        <w:t>二、</w:t>
      </w:r>
      <w:r>
        <w:rPr>
          <w:rFonts w:hint="eastAsia" w:ascii="Times New Roman" w:hAnsi="Times New Roman" w:eastAsia="仿宋" w:cs="Times New Roman"/>
          <w:b/>
          <w:sz w:val="28"/>
          <w:szCs w:val="28"/>
        </w:rPr>
        <w:t>片区</w:t>
      </w:r>
      <w:r>
        <w:rPr>
          <w:rFonts w:ascii="Times New Roman" w:hAnsi="Times New Roman" w:eastAsia="仿宋" w:cs="Times New Roman"/>
          <w:b/>
          <w:sz w:val="28"/>
          <w:szCs w:val="28"/>
        </w:rPr>
        <w:t>基本情况</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原方案批次为溧水区2</w:t>
      </w:r>
      <w:r>
        <w:rPr>
          <w:rFonts w:ascii="Times New Roman" w:hAnsi="Times New Roman" w:eastAsia="仿宋" w:cs="Times New Roman"/>
          <w:sz w:val="28"/>
          <w:szCs w:val="28"/>
        </w:rPr>
        <w:t>021-01</w:t>
      </w:r>
      <w:r>
        <w:rPr>
          <w:rFonts w:hint="eastAsia" w:ascii="Times New Roman" w:hAnsi="Times New Roman" w:eastAsia="仿宋" w:cs="Times New Roman"/>
          <w:sz w:val="28"/>
          <w:szCs w:val="28"/>
        </w:rPr>
        <w:t>号（省）方案，于2</w:t>
      </w:r>
      <w:r>
        <w:rPr>
          <w:rFonts w:ascii="Times New Roman" w:hAnsi="Times New Roman" w:eastAsia="仿宋" w:cs="Times New Roman"/>
          <w:sz w:val="28"/>
          <w:szCs w:val="28"/>
        </w:rPr>
        <w:t>021</w:t>
      </w:r>
      <w:r>
        <w:rPr>
          <w:rFonts w:hint="eastAsia" w:ascii="Times New Roman" w:hAnsi="Times New Roman" w:eastAsia="仿宋" w:cs="Times New Roman"/>
          <w:sz w:val="28"/>
          <w:szCs w:val="28"/>
        </w:rPr>
        <w:t>年7月2</w:t>
      </w:r>
      <w:r>
        <w:rPr>
          <w:rFonts w:ascii="Times New Roman" w:hAnsi="Times New Roman" w:eastAsia="仿宋" w:cs="Times New Roman"/>
          <w:sz w:val="28"/>
          <w:szCs w:val="28"/>
        </w:rPr>
        <w:t>3</w:t>
      </w:r>
      <w:r>
        <w:rPr>
          <w:rFonts w:hint="eastAsia" w:ascii="Times New Roman" w:hAnsi="Times New Roman" w:eastAsia="仿宋" w:cs="Times New Roman"/>
          <w:sz w:val="28"/>
          <w:szCs w:val="28"/>
        </w:rPr>
        <w:t>日取得省政府批复。本次拟调整</w:t>
      </w:r>
      <w:r>
        <w:rPr>
          <w:rFonts w:ascii="Times New Roman" w:hAnsi="Times New Roman" w:eastAsia="仿宋" w:cs="Times New Roman"/>
          <w:sz w:val="28"/>
          <w:szCs w:val="28"/>
        </w:rPr>
        <w:t>2</w:t>
      </w:r>
      <w:r>
        <w:rPr>
          <w:rFonts w:hint="eastAsia" w:ascii="Times New Roman" w:hAnsi="Times New Roman" w:eastAsia="仿宋" w:cs="Times New Roman"/>
          <w:sz w:val="28"/>
          <w:szCs w:val="28"/>
        </w:rPr>
        <w:t>个片区，分别为三山湖东商务核心片区（C</w:t>
      </w:r>
      <w:r>
        <w:rPr>
          <w:rFonts w:ascii="Times New Roman" w:hAnsi="Times New Roman" w:eastAsia="仿宋" w:cs="Times New Roman"/>
          <w:sz w:val="28"/>
          <w:szCs w:val="28"/>
        </w:rPr>
        <w:t>P320117-2021-01-01</w:t>
      </w:r>
      <w:r>
        <w:rPr>
          <w:rFonts w:hint="eastAsia" w:ascii="Times New Roman" w:hAnsi="Times New Roman" w:eastAsia="仿宋" w:cs="Times New Roman"/>
          <w:sz w:val="28"/>
          <w:szCs w:val="28"/>
        </w:rPr>
        <w:t>）和城南国际教育基地片区（C</w:t>
      </w:r>
      <w:r>
        <w:rPr>
          <w:rFonts w:ascii="Times New Roman" w:hAnsi="Times New Roman" w:eastAsia="仿宋" w:cs="Times New Roman"/>
          <w:sz w:val="28"/>
          <w:szCs w:val="28"/>
        </w:rPr>
        <w:t>P320117-2021-01-06</w:t>
      </w:r>
      <w:r>
        <w:rPr>
          <w:rFonts w:hint="eastAsia" w:ascii="Times New Roman" w:hAnsi="Times New Roman" w:eastAsia="仿宋" w:cs="Times New Roman"/>
          <w:sz w:val="28"/>
          <w:szCs w:val="28"/>
        </w:rPr>
        <w:t>）。其中：</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三山湖东商务核心片区（C</w:t>
      </w:r>
      <w:r>
        <w:rPr>
          <w:rFonts w:ascii="Times New Roman" w:hAnsi="Times New Roman" w:eastAsia="仿宋" w:cs="Times New Roman"/>
          <w:sz w:val="28"/>
          <w:szCs w:val="28"/>
        </w:rPr>
        <w:t>P320117-2021-01-01</w:t>
      </w:r>
      <w:r>
        <w:rPr>
          <w:rFonts w:hint="eastAsia" w:ascii="Times New Roman" w:hAnsi="Times New Roman" w:eastAsia="仿宋" w:cs="Times New Roman"/>
          <w:sz w:val="28"/>
          <w:szCs w:val="28"/>
        </w:rPr>
        <w:t>）总规模由调整前的</w:t>
      </w:r>
      <w:r>
        <w:rPr>
          <w:rFonts w:ascii="Times New Roman" w:hAnsi="Times New Roman" w:eastAsia="仿宋" w:cs="Times New Roman"/>
          <w:sz w:val="28"/>
          <w:szCs w:val="28"/>
        </w:rPr>
        <w:t>93.3822</w:t>
      </w:r>
      <w:r>
        <w:rPr>
          <w:rFonts w:hint="eastAsia" w:ascii="Times New Roman" w:hAnsi="Times New Roman" w:eastAsia="仿宋" w:cs="Times New Roman"/>
          <w:sz w:val="28"/>
          <w:szCs w:val="28"/>
        </w:rPr>
        <w:t>公顷调整为</w:t>
      </w:r>
      <w:r>
        <w:rPr>
          <w:rFonts w:ascii="Times New Roman" w:hAnsi="Times New Roman" w:eastAsia="仿宋" w:cs="Times New Roman"/>
          <w:sz w:val="28"/>
          <w:szCs w:val="28"/>
        </w:rPr>
        <w:t>90.4706</w:t>
      </w:r>
      <w:r>
        <w:rPr>
          <w:rFonts w:hint="eastAsia" w:ascii="Times New Roman" w:hAnsi="Times New Roman" w:eastAsia="仿宋" w:cs="Times New Roman"/>
          <w:sz w:val="28"/>
          <w:szCs w:val="28"/>
        </w:rPr>
        <w:t>公顷，四至范围东至规划蔚庄路、南至规划高家边路、西至乌山路和华桥路、北至新淮大道，片区拟征收范围涉及柘塘街道康怡社区和乌山社区，具体范围详见附图。</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城南国际教育基地片区（C</w:t>
      </w:r>
      <w:r>
        <w:rPr>
          <w:rFonts w:ascii="Times New Roman" w:hAnsi="Times New Roman" w:eastAsia="仿宋" w:cs="Times New Roman"/>
          <w:sz w:val="28"/>
          <w:szCs w:val="28"/>
        </w:rPr>
        <w:t>P320117-2021-01-06</w:t>
      </w:r>
      <w:r>
        <w:rPr>
          <w:rFonts w:hint="eastAsia" w:ascii="Times New Roman" w:hAnsi="Times New Roman" w:eastAsia="仿宋" w:cs="Times New Roman"/>
          <w:sz w:val="28"/>
          <w:szCs w:val="28"/>
        </w:rPr>
        <w:t>）总规模由调整前的</w:t>
      </w:r>
      <w:r>
        <w:rPr>
          <w:rFonts w:ascii="Times New Roman" w:hAnsi="Times New Roman" w:eastAsia="仿宋" w:cs="Times New Roman"/>
          <w:sz w:val="28"/>
          <w:szCs w:val="28"/>
        </w:rPr>
        <w:t>23.469</w:t>
      </w:r>
      <w:r>
        <w:rPr>
          <w:rFonts w:hint="eastAsia" w:ascii="Times New Roman" w:hAnsi="Times New Roman" w:eastAsia="仿宋" w:cs="Times New Roman"/>
          <w:sz w:val="28"/>
          <w:szCs w:val="28"/>
        </w:rPr>
        <w:t>0公顷调整为</w:t>
      </w:r>
      <w:r>
        <w:rPr>
          <w:rFonts w:ascii="Times New Roman" w:hAnsi="Times New Roman" w:eastAsia="仿宋" w:cs="Times New Roman"/>
          <w:sz w:val="28"/>
          <w:szCs w:val="28"/>
        </w:rPr>
        <w:t>23.369</w:t>
      </w:r>
      <w:r>
        <w:rPr>
          <w:rFonts w:hint="eastAsia" w:ascii="Times New Roman" w:hAnsi="Times New Roman" w:eastAsia="仿宋" w:cs="Times New Roman"/>
          <w:sz w:val="28"/>
          <w:szCs w:val="28"/>
        </w:rPr>
        <w:t>0公顷，四至范围东至观峰路、南至无想山大道、西至规划西一号路、北至规划石虎路，片区拟征收范围涉及洪蓝街道西旺社区，具体范围详见附图。</w:t>
      </w:r>
    </w:p>
    <w:p>
      <w:pPr>
        <w:spacing w:line="580" w:lineRule="exact"/>
        <w:ind w:firstLine="560" w:firstLineChars="200"/>
        <w:rPr>
          <w:rFonts w:ascii="Times New Roman" w:hAnsi="Times New Roman" w:eastAsia="仿宋" w:cs="Times New Roman"/>
          <w:b/>
          <w:sz w:val="28"/>
          <w:szCs w:val="28"/>
        </w:rPr>
      </w:pPr>
      <w:r>
        <w:rPr>
          <w:rFonts w:ascii="Times New Roman" w:hAnsi="Times New Roman" w:eastAsia="仿宋" w:cs="Times New Roman"/>
          <w:b/>
          <w:sz w:val="28"/>
          <w:szCs w:val="28"/>
        </w:rPr>
        <w:t>三、片区</w:t>
      </w:r>
      <w:r>
        <w:rPr>
          <w:rFonts w:hint="eastAsia" w:ascii="Times New Roman" w:hAnsi="Times New Roman" w:eastAsia="仿宋" w:cs="Times New Roman"/>
          <w:b/>
          <w:sz w:val="28"/>
          <w:szCs w:val="28"/>
        </w:rPr>
        <w:t>调整</w:t>
      </w:r>
      <w:r>
        <w:rPr>
          <w:rFonts w:ascii="Times New Roman" w:hAnsi="Times New Roman" w:eastAsia="仿宋" w:cs="Times New Roman"/>
          <w:b/>
          <w:sz w:val="28"/>
          <w:szCs w:val="28"/>
        </w:rPr>
        <w:t>必要性</w:t>
      </w:r>
    </w:p>
    <w:p>
      <w:pPr>
        <w:pStyle w:val="12"/>
        <w:spacing w:line="580" w:lineRule="exact"/>
        <w:ind w:left="568" w:firstLine="0" w:firstLineChars="0"/>
        <w:rPr>
          <w:rFonts w:ascii="Times New Roman" w:hAnsi="Times New Roman" w:eastAsia="仿宋" w:cs="Times New Roman"/>
          <w:b/>
          <w:sz w:val="28"/>
          <w:szCs w:val="28"/>
        </w:rPr>
      </w:pPr>
      <w:r>
        <w:rPr>
          <w:rFonts w:ascii="Times New Roman" w:hAnsi="Times New Roman" w:eastAsia="仿宋" w:cs="Times New Roman"/>
          <w:b/>
          <w:sz w:val="28"/>
          <w:szCs w:val="28"/>
        </w:rPr>
        <w:t>1、</w:t>
      </w:r>
      <w:r>
        <w:rPr>
          <w:rFonts w:hint="eastAsia" w:ascii="Times New Roman" w:hAnsi="Times New Roman" w:eastAsia="仿宋" w:cs="Times New Roman"/>
          <w:b/>
          <w:sz w:val="28"/>
          <w:szCs w:val="28"/>
        </w:rPr>
        <w:t>符合</w:t>
      </w:r>
      <w:r>
        <w:rPr>
          <w:rFonts w:ascii="Times New Roman" w:hAnsi="Times New Roman" w:eastAsia="仿宋" w:cs="Times New Roman"/>
          <w:b/>
          <w:sz w:val="28"/>
          <w:szCs w:val="28"/>
        </w:rPr>
        <w:t>国土空间资源高效配置</w:t>
      </w:r>
      <w:r>
        <w:rPr>
          <w:rFonts w:hint="eastAsia" w:ascii="Times New Roman" w:hAnsi="Times New Roman" w:eastAsia="仿宋" w:cs="Times New Roman"/>
          <w:b/>
          <w:sz w:val="28"/>
          <w:szCs w:val="28"/>
        </w:rPr>
        <w:t>，落实战略引领的需求</w:t>
      </w:r>
    </w:p>
    <w:p>
      <w:pPr>
        <w:spacing w:line="580" w:lineRule="exact"/>
        <w:ind w:firstLine="560" w:firstLineChars="200"/>
        <w:rPr>
          <w:rFonts w:hint="eastAsia" w:ascii="Times New Roman" w:hAnsi="Times New Roman" w:eastAsia="仿宋" w:cs="Times New Roman"/>
          <w:sz w:val="28"/>
          <w:szCs w:val="28"/>
        </w:rPr>
      </w:pPr>
      <w:r>
        <w:rPr>
          <w:rFonts w:ascii="Times New Roman" w:hAnsi="Times New Roman" w:eastAsia="仿宋" w:cs="Times New Roman"/>
          <w:sz w:val="28"/>
          <w:szCs w:val="28"/>
        </w:rPr>
        <w:t>成片开发</w:t>
      </w:r>
      <w:r>
        <w:rPr>
          <w:rFonts w:hint="eastAsia" w:ascii="Times New Roman" w:hAnsi="Times New Roman" w:eastAsia="仿宋" w:cs="Times New Roman"/>
          <w:sz w:val="28"/>
          <w:szCs w:val="28"/>
        </w:rPr>
        <w:t>以</w:t>
      </w:r>
      <w:r>
        <w:rPr>
          <w:rFonts w:ascii="Times New Roman" w:hAnsi="Times New Roman" w:eastAsia="仿宋" w:cs="Times New Roman"/>
          <w:sz w:val="28"/>
          <w:szCs w:val="28"/>
        </w:rPr>
        <w:t>国土空间规划、国民经济和社会发展规划为依据，突出规划引导，改变以往以投资项目为主导、跳跃式式布局的土地供应机制，引导建设行为集中布局、空间资源高效使用，达到“形成相对完整的城市功能片区”及“建一片、成一片”等目标。</w:t>
      </w:r>
    </w:p>
    <w:p>
      <w:pPr>
        <w:spacing w:line="580" w:lineRule="exact"/>
        <w:ind w:firstLine="560" w:firstLineChars="200"/>
        <w:rPr>
          <w:rFonts w:ascii="Times New Roman" w:hAnsi="Times New Roman" w:eastAsia="仿宋" w:cs="Times New Roman"/>
          <w:b/>
          <w:sz w:val="28"/>
          <w:szCs w:val="28"/>
        </w:rPr>
      </w:pPr>
      <w:r>
        <w:rPr>
          <w:rFonts w:ascii="Times New Roman" w:hAnsi="Times New Roman" w:eastAsia="仿宋" w:cs="Times New Roman"/>
          <w:b/>
          <w:sz w:val="28"/>
          <w:szCs w:val="28"/>
        </w:rPr>
        <w:t>2、</w:t>
      </w:r>
      <w:r>
        <w:rPr>
          <w:rFonts w:hint="eastAsia" w:ascii="Times New Roman" w:hAnsi="Times New Roman" w:eastAsia="仿宋" w:cs="Times New Roman"/>
          <w:b/>
          <w:sz w:val="28"/>
          <w:szCs w:val="28"/>
        </w:rPr>
        <w:t>符合加强土地集约节约利用，完善城镇功能的需求</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拟调整片区</w:t>
      </w:r>
      <w:r>
        <w:rPr>
          <w:rFonts w:ascii="Times New Roman" w:hAnsi="Times New Roman" w:eastAsia="仿宋" w:cs="Times New Roman"/>
          <w:sz w:val="28"/>
          <w:szCs w:val="28"/>
        </w:rPr>
        <w:t>位于</w:t>
      </w:r>
      <w:r>
        <w:rPr>
          <w:rFonts w:hint="eastAsia" w:ascii="Times New Roman" w:hAnsi="Times New Roman" w:eastAsia="仿宋" w:cs="Times New Roman"/>
          <w:sz w:val="28"/>
          <w:szCs w:val="28"/>
        </w:rPr>
        <w:t>柘塘新城和溧水副城城南片区的核心区域，是溧水区“十四五”时期重点建设空间，以上片区是柘塘新城商业商务中心、溧水副城教育功能提升的重要承载</w:t>
      </w:r>
      <w:r>
        <w:rPr>
          <w:rFonts w:ascii="Times New Roman" w:hAnsi="Times New Roman" w:eastAsia="仿宋" w:cs="Times New Roman"/>
          <w:sz w:val="28"/>
          <w:szCs w:val="28"/>
        </w:rPr>
        <w:t>。</w:t>
      </w:r>
      <w:r>
        <w:rPr>
          <w:rFonts w:hint="eastAsia" w:ascii="Times New Roman" w:hAnsi="Times New Roman" w:eastAsia="仿宋" w:cs="Times New Roman"/>
          <w:sz w:val="28"/>
          <w:szCs w:val="28"/>
        </w:rPr>
        <w:t>以上</w:t>
      </w:r>
      <w:r>
        <w:rPr>
          <w:rFonts w:ascii="Times New Roman" w:hAnsi="Times New Roman" w:eastAsia="仿宋" w:cs="Times New Roman"/>
          <w:sz w:val="28"/>
          <w:szCs w:val="28"/>
        </w:rPr>
        <w:t>两个区域实施土地征收用于</w:t>
      </w:r>
      <w:r>
        <w:rPr>
          <w:rFonts w:hint="eastAsia" w:ascii="Times New Roman" w:hAnsi="Times New Roman" w:eastAsia="仿宋" w:cs="Times New Roman"/>
          <w:sz w:val="28"/>
          <w:szCs w:val="28"/>
        </w:rPr>
        <w:t>商业、商务、教育和居住用地</w:t>
      </w:r>
      <w:r>
        <w:rPr>
          <w:rFonts w:ascii="Times New Roman" w:hAnsi="Times New Roman" w:eastAsia="仿宋" w:cs="Times New Roman"/>
          <w:sz w:val="28"/>
          <w:szCs w:val="28"/>
        </w:rPr>
        <w:t>建设，有助于优化城镇结构</w:t>
      </w:r>
      <w:r>
        <w:rPr>
          <w:rFonts w:hint="eastAsia" w:ascii="Times New Roman" w:hAnsi="Times New Roman" w:eastAsia="仿宋" w:cs="Times New Roman"/>
          <w:sz w:val="28"/>
          <w:szCs w:val="28"/>
        </w:rPr>
        <w:t>、</w:t>
      </w:r>
      <w:r>
        <w:rPr>
          <w:rFonts w:ascii="Times New Roman" w:hAnsi="Times New Roman" w:eastAsia="仿宋" w:cs="Times New Roman"/>
          <w:sz w:val="28"/>
          <w:szCs w:val="28"/>
        </w:rPr>
        <w:t>完善城市功能，进一步促进土地的集约节约利用水平提升。</w:t>
      </w:r>
    </w:p>
    <w:p>
      <w:pPr>
        <w:spacing w:line="580" w:lineRule="exact"/>
        <w:ind w:firstLine="562" w:firstLineChars="201"/>
        <w:rPr>
          <w:rFonts w:ascii="Times New Roman" w:hAnsi="Times New Roman" w:eastAsia="仿宋" w:cs="Times New Roman"/>
          <w:b/>
          <w:sz w:val="28"/>
          <w:szCs w:val="28"/>
        </w:rPr>
      </w:pPr>
      <w:r>
        <w:rPr>
          <w:rFonts w:ascii="Times New Roman" w:hAnsi="Times New Roman" w:eastAsia="仿宋" w:cs="Times New Roman"/>
          <w:b/>
          <w:sz w:val="28"/>
          <w:szCs w:val="28"/>
        </w:rPr>
        <w:t>3、</w:t>
      </w:r>
      <w:r>
        <w:rPr>
          <w:rFonts w:hint="eastAsia" w:ascii="Times New Roman" w:hAnsi="Times New Roman" w:eastAsia="仿宋" w:cs="Times New Roman"/>
          <w:b/>
          <w:sz w:val="28"/>
          <w:szCs w:val="28"/>
        </w:rPr>
        <w:t>推进土地成片合理征收，维护和保障人民基本利益</w:t>
      </w:r>
    </w:p>
    <w:p>
      <w:pPr>
        <w:spacing w:line="580" w:lineRule="exact"/>
        <w:ind w:firstLine="562" w:firstLineChars="201"/>
        <w:rPr>
          <w:rFonts w:ascii="Times New Roman" w:hAnsi="Times New Roman" w:eastAsia="仿宋" w:cs="Times New Roman"/>
          <w:sz w:val="28"/>
          <w:szCs w:val="28"/>
        </w:rPr>
      </w:pPr>
      <w:r>
        <w:rPr>
          <w:rFonts w:hint="eastAsia" w:ascii="Times New Roman" w:hAnsi="Times New Roman" w:eastAsia="仿宋" w:cs="Times New Roman"/>
          <w:sz w:val="28"/>
          <w:szCs w:val="28"/>
        </w:rPr>
        <w:t>拟调整片区确保了公共服务、公用设施、城市道路和城市绿地等公益性项目比例超过</w:t>
      </w:r>
      <w:r>
        <w:rPr>
          <w:rFonts w:ascii="Times New Roman" w:hAnsi="Times New Roman" w:eastAsia="仿宋" w:cs="Times New Roman"/>
          <w:sz w:val="28"/>
          <w:szCs w:val="28"/>
        </w:rPr>
        <w:t>40%的要求</w:t>
      </w:r>
      <w:r>
        <w:rPr>
          <w:rFonts w:hint="eastAsia" w:ascii="Times New Roman" w:hAnsi="Times New Roman" w:eastAsia="仿宋" w:cs="Times New Roman"/>
          <w:sz w:val="28"/>
          <w:szCs w:val="28"/>
        </w:rPr>
        <w:t>，避免了产生公共配套缺口，影响居民生活便利性和幸福感。同时，调整方案明确补偿标准，保障农民知情权，严格征地程序，保障被征地农民的生产和生活，从而维护农民合法权益。</w:t>
      </w:r>
    </w:p>
    <w:p>
      <w:pPr>
        <w:spacing w:line="580" w:lineRule="exact"/>
        <w:ind w:firstLine="560" w:firstLineChars="200"/>
        <w:rPr>
          <w:rFonts w:ascii="Times New Roman" w:hAnsi="Times New Roman" w:eastAsia="仿宋" w:cs="Times New Roman"/>
          <w:b/>
          <w:sz w:val="28"/>
          <w:szCs w:val="28"/>
        </w:rPr>
      </w:pPr>
      <w:r>
        <w:rPr>
          <w:rFonts w:hint="eastAsia" w:ascii="Times New Roman" w:hAnsi="Times New Roman" w:eastAsia="仿宋" w:cs="Times New Roman"/>
          <w:b/>
          <w:sz w:val="28"/>
          <w:szCs w:val="28"/>
        </w:rPr>
        <w:t>四</w:t>
      </w:r>
      <w:r>
        <w:rPr>
          <w:rFonts w:ascii="Times New Roman" w:hAnsi="Times New Roman" w:eastAsia="仿宋" w:cs="Times New Roman"/>
          <w:b/>
          <w:sz w:val="28"/>
          <w:szCs w:val="28"/>
        </w:rPr>
        <w:t>、建设实施计划</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本</w:t>
      </w:r>
      <w:r>
        <w:rPr>
          <w:rFonts w:hint="eastAsia" w:ascii="Times New Roman" w:hAnsi="Times New Roman" w:eastAsia="仿宋" w:cs="Times New Roman"/>
          <w:sz w:val="28"/>
          <w:szCs w:val="28"/>
        </w:rPr>
        <w:t>次调整</w:t>
      </w:r>
      <w:r>
        <w:rPr>
          <w:rFonts w:ascii="Times New Roman" w:hAnsi="Times New Roman" w:eastAsia="仿宋" w:cs="Times New Roman"/>
          <w:sz w:val="28"/>
          <w:szCs w:val="28"/>
        </w:rPr>
        <w:t>方案实施期限</w:t>
      </w:r>
      <w:r>
        <w:rPr>
          <w:rFonts w:hint="eastAsia" w:ascii="Times New Roman" w:hAnsi="Times New Roman" w:eastAsia="仿宋" w:cs="Times New Roman"/>
          <w:sz w:val="28"/>
          <w:szCs w:val="28"/>
        </w:rPr>
        <w:t>以调整前实施周期为准，时间</w:t>
      </w:r>
      <w:r>
        <w:rPr>
          <w:rFonts w:ascii="Times New Roman" w:hAnsi="Times New Roman" w:eastAsia="仿宋" w:cs="Times New Roman"/>
          <w:sz w:val="28"/>
          <w:szCs w:val="28"/>
        </w:rPr>
        <w:t>为2021年至2026年，计划在5年内完成项目实施。</w:t>
      </w:r>
    </w:p>
    <w:p>
      <w:pPr>
        <w:spacing w:line="580" w:lineRule="exact"/>
        <w:ind w:firstLine="560" w:firstLineChars="200"/>
        <w:rPr>
          <w:rFonts w:ascii="Times New Roman" w:hAnsi="Times New Roman" w:eastAsia="仿宋" w:cs="Times New Roman"/>
          <w:b/>
          <w:sz w:val="28"/>
          <w:szCs w:val="28"/>
        </w:rPr>
      </w:pPr>
      <w:r>
        <w:rPr>
          <w:rFonts w:ascii="Times New Roman" w:hAnsi="Times New Roman" w:eastAsia="仿宋" w:cs="Times New Roman"/>
          <w:b/>
          <w:sz w:val="28"/>
          <w:szCs w:val="28"/>
        </w:rPr>
        <w:t>五、规划符合性</w:t>
      </w:r>
    </w:p>
    <w:p>
      <w:pPr>
        <w:spacing w:line="580" w:lineRule="exact"/>
        <w:ind w:firstLine="562" w:firstLineChars="201"/>
        <w:rPr>
          <w:rFonts w:ascii="Times New Roman" w:hAnsi="Times New Roman" w:eastAsia="仿宋" w:cs="Times New Roman"/>
          <w:b/>
          <w:sz w:val="28"/>
          <w:szCs w:val="28"/>
        </w:rPr>
      </w:pPr>
      <w:r>
        <w:rPr>
          <w:rFonts w:ascii="Times New Roman" w:hAnsi="Times New Roman" w:eastAsia="仿宋" w:cs="Times New Roman"/>
          <w:b/>
          <w:sz w:val="28"/>
          <w:szCs w:val="28"/>
        </w:rPr>
        <w:t>1、国民经济和社会发展规划、年度计划</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本方案符合《南京市溧水区国民经济和社会发展第十四个五年规划和二〇三五年远景目标纲要》，符合《溧水区2024年度国民经济和社会发展年度计划》。</w:t>
      </w:r>
    </w:p>
    <w:p>
      <w:pPr>
        <w:spacing w:line="580" w:lineRule="exact"/>
        <w:ind w:firstLine="562" w:firstLineChars="201"/>
        <w:rPr>
          <w:rFonts w:ascii="Times New Roman" w:hAnsi="Times New Roman" w:eastAsia="仿宋" w:cs="Times New Roman"/>
          <w:b/>
          <w:sz w:val="28"/>
          <w:szCs w:val="28"/>
        </w:rPr>
      </w:pPr>
      <w:r>
        <w:rPr>
          <w:rFonts w:ascii="Times New Roman" w:hAnsi="Times New Roman" w:eastAsia="仿宋" w:cs="Times New Roman"/>
          <w:b/>
          <w:sz w:val="28"/>
          <w:szCs w:val="28"/>
        </w:rPr>
        <w:t>2、符合国土空间规划情况</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本方案符合报批版《溧水区国土空间总体规划（2021-2035年）》明确的城镇发展格局，位于城镇开发边界内，不涉及永久基本农田和生态保护红线等底线管控要素。</w:t>
      </w:r>
    </w:p>
    <w:p>
      <w:pPr>
        <w:spacing w:line="580" w:lineRule="exact"/>
        <w:ind w:firstLine="562" w:firstLineChars="201"/>
        <w:rPr>
          <w:rFonts w:ascii="Times New Roman" w:hAnsi="Times New Roman" w:eastAsia="仿宋" w:cs="Times New Roman"/>
          <w:b/>
          <w:sz w:val="28"/>
          <w:szCs w:val="28"/>
        </w:rPr>
      </w:pPr>
      <w:r>
        <w:rPr>
          <w:rFonts w:ascii="Times New Roman" w:hAnsi="Times New Roman" w:eastAsia="仿宋" w:cs="Times New Roman"/>
          <w:b/>
          <w:sz w:val="28"/>
          <w:szCs w:val="28"/>
        </w:rPr>
        <w:t>3、公益性用地比例</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本次拟调整片区为城市新区型片区，</w:t>
      </w:r>
      <w:r>
        <w:rPr>
          <w:rFonts w:ascii="Times New Roman" w:hAnsi="Times New Roman" w:eastAsia="仿宋" w:cs="Times New Roman"/>
          <w:sz w:val="28"/>
          <w:szCs w:val="28"/>
        </w:rPr>
        <w:t>公益性用地比例</w:t>
      </w:r>
      <w:r>
        <w:rPr>
          <w:rFonts w:hint="eastAsia" w:ascii="Times New Roman" w:hAnsi="Times New Roman" w:eastAsia="仿宋" w:cs="Times New Roman"/>
          <w:sz w:val="28"/>
          <w:szCs w:val="28"/>
        </w:rPr>
        <w:t>分别为三山湖东商务核心片区</w:t>
      </w:r>
      <w:r>
        <w:rPr>
          <w:rFonts w:ascii="Times New Roman" w:hAnsi="Times New Roman" w:eastAsia="仿宋" w:cs="Times New Roman"/>
          <w:sz w:val="28"/>
          <w:szCs w:val="28"/>
        </w:rPr>
        <w:t>44.07%</w:t>
      </w:r>
      <w:r>
        <w:rPr>
          <w:rFonts w:hint="eastAsia" w:ascii="Times New Roman" w:hAnsi="Times New Roman" w:eastAsia="仿宋" w:cs="Times New Roman"/>
          <w:sz w:val="28"/>
          <w:szCs w:val="28"/>
        </w:rPr>
        <w:t>，城南国际教育基地片区4</w:t>
      </w:r>
      <w:r>
        <w:rPr>
          <w:rFonts w:ascii="Times New Roman" w:hAnsi="Times New Roman" w:eastAsia="仿宋" w:cs="Times New Roman"/>
          <w:sz w:val="28"/>
          <w:szCs w:val="28"/>
        </w:rPr>
        <w:t>6.8%</w:t>
      </w:r>
      <w:r>
        <w:rPr>
          <w:rFonts w:hint="eastAsia" w:ascii="Times New Roman" w:hAnsi="Times New Roman" w:eastAsia="仿宋" w:cs="Times New Roman"/>
          <w:sz w:val="28"/>
          <w:szCs w:val="28"/>
        </w:rPr>
        <w:t>，均</w:t>
      </w:r>
      <w:r>
        <w:rPr>
          <w:rFonts w:ascii="Times New Roman" w:hAnsi="Times New Roman" w:eastAsia="仿宋" w:cs="Times New Roman"/>
          <w:sz w:val="28"/>
          <w:szCs w:val="28"/>
        </w:rPr>
        <w:t>不低于40%</w:t>
      </w:r>
      <w:r>
        <w:rPr>
          <w:rFonts w:hint="eastAsia" w:ascii="Times New Roman" w:hAnsi="Times New Roman" w:eastAsia="仿宋" w:cs="Times New Roman"/>
          <w:sz w:val="28"/>
          <w:szCs w:val="28"/>
        </w:rPr>
        <w:t>，达到《江苏省自然资源厅关于加快推进土地征收成片开发方案编制工作的通知》（苏自然资发〔</w:t>
      </w:r>
      <w:r>
        <w:rPr>
          <w:rFonts w:ascii="Times New Roman" w:hAnsi="Times New Roman" w:eastAsia="仿宋" w:cs="Times New Roman"/>
          <w:sz w:val="28"/>
          <w:szCs w:val="28"/>
        </w:rPr>
        <w:t>2021〕138号）规定的比例要求，不存在不予批准的情形。</w:t>
      </w:r>
    </w:p>
    <w:p>
      <w:pPr>
        <w:spacing w:line="580" w:lineRule="exact"/>
        <w:ind w:firstLine="560" w:firstLineChars="200"/>
        <w:rPr>
          <w:rFonts w:ascii="Times New Roman" w:hAnsi="Times New Roman" w:eastAsia="仿宋" w:cs="Times New Roman"/>
          <w:b/>
          <w:sz w:val="28"/>
          <w:szCs w:val="28"/>
        </w:rPr>
      </w:pPr>
      <w:r>
        <w:rPr>
          <w:rFonts w:ascii="Times New Roman" w:hAnsi="Times New Roman" w:eastAsia="仿宋" w:cs="Times New Roman"/>
          <w:b/>
          <w:sz w:val="28"/>
          <w:szCs w:val="28"/>
        </w:rPr>
        <w:t>六、被征地农民利益保障</w:t>
      </w:r>
    </w:p>
    <w:p>
      <w:pPr>
        <w:spacing w:line="580" w:lineRule="exact"/>
        <w:ind w:firstLine="560" w:firstLineChars="200"/>
        <w:rPr>
          <w:rFonts w:ascii="Times New Roman" w:hAnsi="Times New Roman" w:eastAsia="仿宋" w:cs="Times New Roman"/>
          <w:sz w:val="28"/>
          <w:szCs w:val="28"/>
        </w:rPr>
      </w:pPr>
      <w:r>
        <w:rPr>
          <w:rFonts w:ascii="Times New Roman" w:hAnsi="Times New Roman" w:eastAsia="仿宋" w:cs="Times New Roman"/>
          <w:sz w:val="28"/>
          <w:szCs w:val="28"/>
        </w:rPr>
        <w:t>根据《中华人民共和国土地管理法》、《江苏省被征地农民社会保障办法》（苏政发〔2021〕87号）、《省政府关于重新公布江苏省征地区片综合地价最低标准的通知》（苏政规〔2023〕12号）、</w:t>
      </w:r>
      <w:r>
        <w:rPr>
          <w:rFonts w:hint="eastAsia" w:ascii="Times New Roman" w:hAnsi="Times New Roman" w:eastAsia="仿宋" w:cs="Times New Roman"/>
          <w:sz w:val="28"/>
          <w:szCs w:val="28"/>
        </w:rPr>
        <w:t>《市政府关于重新公布征地区片综合地价执行标准的通知》（宁政规字〔202</w:t>
      </w:r>
      <w:r>
        <w:rPr>
          <w:rFonts w:ascii="Times New Roman" w:hAnsi="Times New Roman" w:eastAsia="仿宋" w:cs="Times New Roman"/>
          <w:sz w:val="28"/>
          <w:szCs w:val="28"/>
        </w:rPr>
        <w:t>4</w:t>
      </w:r>
      <w:r>
        <w:rPr>
          <w:rFonts w:hint="eastAsia" w:ascii="Times New Roman" w:hAnsi="Times New Roman" w:eastAsia="仿宋" w:cs="Times New Roman"/>
          <w:sz w:val="28"/>
          <w:szCs w:val="28"/>
        </w:rPr>
        <w:t>〕</w:t>
      </w:r>
      <w:r>
        <w:rPr>
          <w:rFonts w:ascii="Times New Roman" w:hAnsi="Times New Roman" w:eastAsia="仿宋" w:cs="Times New Roman"/>
          <w:sz w:val="28"/>
          <w:szCs w:val="28"/>
        </w:rPr>
        <w:t>1</w:t>
      </w:r>
      <w:r>
        <w:rPr>
          <w:rFonts w:hint="eastAsia" w:ascii="Times New Roman" w:hAnsi="Times New Roman" w:eastAsia="仿宋" w:cs="Times New Roman"/>
          <w:sz w:val="28"/>
          <w:szCs w:val="28"/>
        </w:rPr>
        <w:t>号）</w:t>
      </w:r>
      <w:r>
        <w:rPr>
          <w:rFonts w:ascii="Times New Roman" w:hAnsi="Times New Roman" w:eastAsia="仿宋" w:cs="Times New Roman"/>
          <w:sz w:val="28"/>
          <w:szCs w:val="28"/>
        </w:rPr>
        <w:t>、</w:t>
      </w:r>
      <w:r>
        <w:rPr>
          <w:rFonts w:hint="eastAsia" w:ascii="Times New Roman" w:hAnsi="Times New Roman" w:eastAsia="仿宋" w:cs="Times New Roman"/>
          <w:sz w:val="28"/>
          <w:szCs w:val="28"/>
        </w:rPr>
        <w:t>《南京市溧水区人民政府关于重新公布溧水区征地区片综合地价标准的通知》（溧政规〔202</w:t>
      </w:r>
      <w:r>
        <w:rPr>
          <w:rFonts w:ascii="Times New Roman" w:hAnsi="Times New Roman" w:eastAsia="仿宋" w:cs="Times New Roman"/>
          <w:sz w:val="28"/>
          <w:szCs w:val="28"/>
        </w:rPr>
        <w:t>4</w:t>
      </w:r>
      <w:r>
        <w:rPr>
          <w:rFonts w:hint="eastAsia" w:ascii="Times New Roman" w:hAnsi="Times New Roman" w:eastAsia="仿宋" w:cs="Times New Roman"/>
          <w:sz w:val="28"/>
          <w:szCs w:val="28"/>
        </w:rPr>
        <w:t>〕</w:t>
      </w:r>
      <w:r>
        <w:rPr>
          <w:rFonts w:ascii="Times New Roman" w:hAnsi="Times New Roman" w:eastAsia="仿宋" w:cs="Times New Roman"/>
          <w:sz w:val="28"/>
          <w:szCs w:val="28"/>
        </w:rPr>
        <w:t>2</w:t>
      </w:r>
      <w:r>
        <w:rPr>
          <w:rFonts w:hint="eastAsia" w:ascii="Times New Roman" w:hAnsi="Times New Roman" w:eastAsia="仿宋" w:cs="Times New Roman"/>
          <w:sz w:val="28"/>
          <w:szCs w:val="28"/>
        </w:rPr>
        <w:t>号）</w:t>
      </w:r>
      <w:r>
        <w:rPr>
          <w:rFonts w:ascii="Times New Roman" w:hAnsi="Times New Roman" w:eastAsia="仿宋" w:cs="Times New Roman"/>
          <w:sz w:val="28"/>
          <w:szCs w:val="28"/>
        </w:rPr>
        <w:t>、《南京市溧水区人民政府关于调整溧水区青苗和地上附着物征地补偿标准的通知》（溧政发〔2020〕128号）等法律法规和政策要求，落实征地补偿安置，相关补偿款及时到位，充分维护被征地农民和农村集体经济组织的合法权益，规范征地补偿程序，通过货币安置、社保安置、搬迁安置相结合的安置方式，妥善解决被征地农民的生产和生活。</w:t>
      </w:r>
    </w:p>
    <w:p>
      <w:pPr>
        <w:spacing w:line="580" w:lineRule="exact"/>
        <w:ind w:firstLine="560" w:firstLineChars="200"/>
        <w:rPr>
          <w:rFonts w:ascii="Times New Roman" w:hAnsi="Times New Roman" w:eastAsia="仿宋" w:cs="Times New Roman"/>
          <w:b/>
          <w:sz w:val="28"/>
          <w:szCs w:val="28"/>
        </w:rPr>
      </w:pPr>
      <w:r>
        <w:rPr>
          <w:rFonts w:hint="eastAsia" w:ascii="Times New Roman" w:hAnsi="Times New Roman" w:eastAsia="仿宋" w:cs="Times New Roman"/>
          <w:b/>
          <w:sz w:val="28"/>
          <w:szCs w:val="28"/>
        </w:rPr>
        <w:t>七、结论</w:t>
      </w:r>
    </w:p>
    <w:p>
      <w:pPr>
        <w:spacing w:line="580" w:lineRule="exact"/>
        <w:ind w:firstLine="560" w:firstLineChars="200"/>
        <w:rPr>
          <w:rFonts w:ascii="Times New Roman" w:hAnsi="Times New Roman" w:eastAsia="仿宋" w:cs="Times New Roman"/>
          <w:sz w:val="28"/>
          <w:szCs w:val="28"/>
        </w:rPr>
      </w:pPr>
      <w:r>
        <w:rPr>
          <w:rFonts w:hint="eastAsia" w:ascii="Times New Roman" w:hAnsi="Times New Roman" w:eastAsia="仿宋" w:cs="Times New Roman"/>
          <w:sz w:val="28"/>
          <w:szCs w:val="28"/>
        </w:rPr>
        <w:t>《溧水区三山湖东商务核心片区（</w:t>
      </w:r>
      <w:r>
        <w:rPr>
          <w:rFonts w:ascii="Times New Roman" w:hAnsi="Times New Roman" w:eastAsia="仿宋" w:cs="Times New Roman"/>
          <w:sz w:val="28"/>
          <w:szCs w:val="28"/>
        </w:rPr>
        <w:t>CP320117-2021-01-01）、城南国际教育基地片区（CP320117-2021-01-06）土地征收成片开发调整方案（征求意见稿）</w:t>
      </w:r>
      <w:r>
        <w:rPr>
          <w:rFonts w:hint="eastAsia" w:ascii="Times New Roman" w:hAnsi="Times New Roman" w:eastAsia="仿宋" w:cs="Times New Roman"/>
          <w:sz w:val="28"/>
          <w:szCs w:val="28"/>
        </w:rPr>
        <w:t>》符合自然资源部、省自然资源厅和市规划资源局明确的土地征收成片开发方案编制标准，做到了保护耕地、维护农民合法权益、节约集约用地、保护生态环境，能够促进社会经济的可持续发展。</w:t>
      </w:r>
    </w:p>
    <w:p>
      <w:pPr>
        <w:spacing w:line="590" w:lineRule="exact"/>
        <w:ind w:right="560" w:firstLine="560" w:firstLineChars="200"/>
        <w:jc w:val="right"/>
        <w:rPr>
          <w:rFonts w:ascii="Times New Roman" w:hAnsi="Times New Roman" w:eastAsia="仿宋" w:cs="Times New Roman"/>
          <w:sz w:val="28"/>
          <w:szCs w:val="28"/>
        </w:rPr>
      </w:pPr>
    </w:p>
    <w:p>
      <w:pPr>
        <w:spacing w:line="590" w:lineRule="exact"/>
        <w:ind w:right="1680" w:firstLine="560" w:firstLineChars="200"/>
        <w:jc w:val="right"/>
        <w:rPr>
          <w:rFonts w:ascii="Times New Roman" w:hAnsi="Times New Roman" w:eastAsia="仿宋" w:cs="Times New Roman"/>
          <w:sz w:val="28"/>
          <w:szCs w:val="28"/>
        </w:rPr>
      </w:pPr>
    </w:p>
    <w:p>
      <w:pPr>
        <w:spacing w:line="590" w:lineRule="exact"/>
        <w:ind w:right="560" w:firstLine="560" w:firstLineChars="200"/>
        <w:jc w:val="center"/>
        <w:rPr>
          <w:rFonts w:ascii="Times New Roman" w:hAnsi="Times New Roman" w:eastAsia="仿宋" w:cs="Times New Roman"/>
          <w:sz w:val="28"/>
          <w:szCs w:val="28"/>
        </w:rPr>
        <w:sectPr>
          <w:pgSz w:w="11906" w:h="16838"/>
          <w:pgMar w:top="1440" w:right="1800" w:bottom="1440" w:left="1800" w:header="851" w:footer="992" w:gutter="0"/>
          <w:cols w:space="425" w:num="1"/>
          <w:docGrid w:type="linesAndChars" w:linePitch="312" w:charSpace="0"/>
        </w:sectPr>
      </w:pPr>
    </w:p>
    <w:p>
      <w:pPr>
        <w:ind w:right="560" w:firstLine="480" w:firstLineChars="200"/>
        <w:jc w:val="center"/>
        <w:rPr>
          <w:rFonts w:ascii="仿宋" w:hAnsi="仿宋" w:eastAsia="仿宋" w:cs="Times New Roman"/>
          <w:sz w:val="24"/>
          <w:szCs w:val="28"/>
        </w:rPr>
      </w:pPr>
      <w:r>
        <w:rPr>
          <w:rFonts w:hint="eastAsia" w:ascii="仿宋" w:hAnsi="仿宋" w:eastAsia="仿宋" w:cs="Times New Roman"/>
          <w:sz w:val="24"/>
          <w:szCs w:val="28"/>
        </w:rPr>
        <w:t>附图</w:t>
      </w:r>
      <w:r>
        <w:rPr>
          <w:rFonts w:ascii="仿宋" w:hAnsi="仿宋" w:eastAsia="仿宋" w:cs="Times New Roman"/>
          <w:sz w:val="24"/>
          <w:szCs w:val="28"/>
        </w:rPr>
        <w:t>1</w:t>
      </w:r>
      <w:r>
        <w:rPr>
          <w:rFonts w:hint="eastAsia" w:ascii="仿宋" w:hAnsi="仿宋" w:eastAsia="仿宋" w:cs="Times New Roman"/>
          <w:sz w:val="24"/>
          <w:szCs w:val="28"/>
        </w:rPr>
        <w:t>：三山湖东商务核心片区</w:t>
      </w:r>
      <w:r>
        <w:rPr>
          <w:rFonts w:ascii="仿宋" w:hAnsi="仿宋" w:eastAsia="仿宋" w:cs="Times New Roman"/>
          <w:sz w:val="24"/>
          <w:szCs w:val="28"/>
        </w:rPr>
        <w:t>（CP320117-2021-01-01）</w:t>
      </w:r>
      <w:r>
        <w:rPr>
          <w:rFonts w:hint="eastAsia" w:ascii="仿宋" w:hAnsi="仿宋" w:eastAsia="仿宋" w:cs="Times New Roman"/>
          <w:sz w:val="24"/>
          <w:szCs w:val="28"/>
        </w:rPr>
        <w:t>土地征收成片开发范围示意图（片区范围以最终批复版为准）</w:t>
      </w:r>
    </w:p>
    <w:p>
      <w:pPr>
        <w:ind w:right="560"/>
        <w:jc w:val="center"/>
        <w:rPr>
          <w:rFonts w:ascii="仿宋" w:hAnsi="仿宋" w:eastAsia="仿宋" w:cs="Times New Roman"/>
          <w:sz w:val="32"/>
          <w:szCs w:val="28"/>
        </w:rPr>
      </w:pPr>
      <w:r>
        <w:rPr>
          <w:rFonts w:ascii="仿宋" w:hAnsi="仿宋" w:eastAsia="仿宋" w:cs="Times New Roman"/>
          <w:sz w:val="32"/>
          <w:szCs w:val="28"/>
        </w:rPr>
        <w:drawing>
          <wp:inline distT="0" distB="0" distL="0" distR="0">
            <wp:extent cx="8927465" cy="6189980"/>
            <wp:effectExtent l="0" t="0" r="6985"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a:xfrm>
                      <a:off x="0" y="0"/>
                      <a:ext cx="8928000" cy="6190393"/>
                    </a:xfrm>
                    <a:prstGeom prst="rect">
                      <a:avLst/>
                    </a:prstGeom>
                    <a:noFill/>
                  </pic:spPr>
                </pic:pic>
              </a:graphicData>
            </a:graphic>
          </wp:inline>
        </w:drawing>
      </w:r>
    </w:p>
    <w:p>
      <w:pPr>
        <w:ind w:right="560" w:firstLine="480" w:firstLineChars="200"/>
        <w:jc w:val="center"/>
        <w:rPr>
          <w:rFonts w:ascii="仿宋" w:hAnsi="仿宋" w:eastAsia="仿宋" w:cs="Times New Roman"/>
          <w:sz w:val="24"/>
          <w:szCs w:val="28"/>
        </w:rPr>
      </w:pPr>
      <w:r>
        <w:rPr>
          <w:rFonts w:hint="eastAsia" w:ascii="仿宋" w:hAnsi="仿宋" w:eastAsia="仿宋" w:cs="Times New Roman"/>
          <w:sz w:val="24"/>
          <w:szCs w:val="28"/>
        </w:rPr>
        <w:t>附图</w:t>
      </w:r>
      <w:r>
        <w:rPr>
          <w:rFonts w:ascii="仿宋" w:hAnsi="仿宋" w:eastAsia="仿宋" w:cs="Times New Roman"/>
          <w:sz w:val="24"/>
          <w:szCs w:val="28"/>
        </w:rPr>
        <w:t>2</w:t>
      </w:r>
      <w:r>
        <w:rPr>
          <w:rFonts w:hint="eastAsia" w:ascii="仿宋" w:hAnsi="仿宋" w:eastAsia="仿宋" w:cs="Times New Roman"/>
          <w:sz w:val="24"/>
          <w:szCs w:val="28"/>
        </w:rPr>
        <w:t>：城南国际教育基地片区</w:t>
      </w:r>
      <w:r>
        <w:rPr>
          <w:rFonts w:ascii="仿宋" w:hAnsi="仿宋" w:eastAsia="仿宋" w:cs="Times New Roman"/>
          <w:sz w:val="24"/>
          <w:szCs w:val="28"/>
        </w:rPr>
        <w:t>（CP320117-2021-01-06）</w:t>
      </w:r>
      <w:r>
        <w:rPr>
          <w:rFonts w:hint="eastAsia" w:ascii="仿宋" w:hAnsi="仿宋" w:eastAsia="仿宋" w:cs="Times New Roman"/>
          <w:sz w:val="24"/>
          <w:szCs w:val="28"/>
        </w:rPr>
        <w:t>土地征收成片开发范围示意图（片区范围以最终批复版为准）</w:t>
      </w:r>
    </w:p>
    <w:p>
      <w:pPr>
        <w:ind w:right="560"/>
        <w:jc w:val="center"/>
        <w:rPr>
          <w:rFonts w:ascii="仿宋" w:hAnsi="仿宋" w:eastAsia="仿宋" w:cs="Times New Roman"/>
          <w:sz w:val="32"/>
          <w:szCs w:val="28"/>
        </w:rPr>
      </w:pPr>
      <w:r>
        <w:rPr>
          <w:rFonts w:ascii="仿宋" w:hAnsi="仿宋" w:eastAsia="仿宋" w:cs="Times New Roman"/>
          <w:sz w:val="32"/>
          <w:szCs w:val="28"/>
        </w:rPr>
        <w:drawing>
          <wp:inline distT="0" distB="0" distL="0" distR="0">
            <wp:extent cx="8927465" cy="6189980"/>
            <wp:effectExtent l="0" t="0" r="6985"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8928000" cy="6190393"/>
                    </a:xfrm>
                    <a:prstGeom prst="rect">
                      <a:avLst/>
                    </a:prstGeom>
                    <a:noFill/>
                  </pic:spPr>
                </pic:pic>
              </a:graphicData>
            </a:graphic>
          </wp:inline>
        </w:drawing>
      </w:r>
    </w:p>
    <w:sectPr>
      <w:pgSz w:w="16838" w:h="11906" w:orient="landscape"/>
      <w:pgMar w:top="993" w:right="1440" w:bottom="567"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方正小标宋_GBK">
    <w:panose1 w:val="03000509000000000000"/>
    <w:charset w:val="86"/>
    <w:family w:val="script"/>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018C"/>
    <w:rsid w:val="00080E44"/>
    <w:rsid w:val="000A25BB"/>
    <w:rsid w:val="000E4039"/>
    <w:rsid w:val="001406A8"/>
    <w:rsid w:val="00153195"/>
    <w:rsid w:val="00184B1B"/>
    <w:rsid w:val="0019286E"/>
    <w:rsid w:val="00193C13"/>
    <w:rsid w:val="001973BB"/>
    <w:rsid w:val="001A24AB"/>
    <w:rsid w:val="001C018C"/>
    <w:rsid w:val="001C6ED8"/>
    <w:rsid w:val="001D7404"/>
    <w:rsid w:val="001F10C0"/>
    <w:rsid w:val="0021316C"/>
    <w:rsid w:val="002206D7"/>
    <w:rsid w:val="00231E54"/>
    <w:rsid w:val="00243CC1"/>
    <w:rsid w:val="00282612"/>
    <w:rsid w:val="002F471C"/>
    <w:rsid w:val="00337A86"/>
    <w:rsid w:val="003777B7"/>
    <w:rsid w:val="0039704F"/>
    <w:rsid w:val="003A73E2"/>
    <w:rsid w:val="003D16F4"/>
    <w:rsid w:val="00443300"/>
    <w:rsid w:val="00455265"/>
    <w:rsid w:val="004B0CA6"/>
    <w:rsid w:val="004B211F"/>
    <w:rsid w:val="004C2F6F"/>
    <w:rsid w:val="004C472A"/>
    <w:rsid w:val="004E7244"/>
    <w:rsid w:val="005054B2"/>
    <w:rsid w:val="00515D56"/>
    <w:rsid w:val="00532A4E"/>
    <w:rsid w:val="00563974"/>
    <w:rsid w:val="005728FD"/>
    <w:rsid w:val="00605B20"/>
    <w:rsid w:val="006550EE"/>
    <w:rsid w:val="0066325A"/>
    <w:rsid w:val="006F5850"/>
    <w:rsid w:val="00734101"/>
    <w:rsid w:val="00736D04"/>
    <w:rsid w:val="00781E9F"/>
    <w:rsid w:val="007A79D1"/>
    <w:rsid w:val="007B7903"/>
    <w:rsid w:val="00840EA1"/>
    <w:rsid w:val="008513B0"/>
    <w:rsid w:val="00890511"/>
    <w:rsid w:val="008961B0"/>
    <w:rsid w:val="008B60D1"/>
    <w:rsid w:val="00920B13"/>
    <w:rsid w:val="00974952"/>
    <w:rsid w:val="00995377"/>
    <w:rsid w:val="00A17E1D"/>
    <w:rsid w:val="00A27A86"/>
    <w:rsid w:val="00A33684"/>
    <w:rsid w:val="00A65BD3"/>
    <w:rsid w:val="00A70DB8"/>
    <w:rsid w:val="00AB246B"/>
    <w:rsid w:val="00AD225A"/>
    <w:rsid w:val="00B72D8A"/>
    <w:rsid w:val="00BC1483"/>
    <w:rsid w:val="00C10A2D"/>
    <w:rsid w:val="00C214AE"/>
    <w:rsid w:val="00C46A31"/>
    <w:rsid w:val="00C96C9E"/>
    <w:rsid w:val="00CF377A"/>
    <w:rsid w:val="00D0216C"/>
    <w:rsid w:val="00D130D5"/>
    <w:rsid w:val="00D25434"/>
    <w:rsid w:val="00D80352"/>
    <w:rsid w:val="00D9089B"/>
    <w:rsid w:val="00DB572A"/>
    <w:rsid w:val="00DB5C64"/>
    <w:rsid w:val="00DC61C2"/>
    <w:rsid w:val="00E31A70"/>
    <w:rsid w:val="00E54442"/>
    <w:rsid w:val="00E86618"/>
    <w:rsid w:val="00E9763D"/>
    <w:rsid w:val="00F21952"/>
    <w:rsid w:val="00F532C8"/>
    <w:rsid w:val="00F868A0"/>
    <w:rsid w:val="00F9398B"/>
    <w:rsid w:val="00FC04F2"/>
    <w:rsid w:val="00FC68D4"/>
    <w:rsid w:val="00FD2B02"/>
    <w:rsid w:val="181F0532"/>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7">
    <w:name w:val="Default Paragraph Font"/>
    <w:semiHidden/>
    <w:unhideWhenUsed/>
    <w:qFormat/>
    <w:uiPriority w:val="1"/>
  </w:style>
  <w:style w:type="table" w:default="1" w:styleId="5">
    <w:name w:val="Normal Table"/>
    <w:semiHidden/>
    <w:unhideWhenUsed/>
    <w:uiPriority w:val="99"/>
    <w:tblPr>
      <w:tblCellMar>
        <w:top w:w="0" w:type="dxa"/>
        <w:left w:w="108" w:type="dxa"/>
        <w:bottom w:w="0" w:type="dxa"/>
        <w:right w:w="108" w:type="dxa"/>
      </w:tblCellMar>
    </w:tblPr>
  </w:style>
  <w:style w:type="paragraph" w:styleId="2">
    <w:name w:val="Balloon Text"/>
    <w:basedOn w:val="1"/>
    <w:link w:val="13"/>
    <w:semiHidden/>
    <w:unhideWhenUsed/>
    <w:uiPriority w:val="99"/>
    <w:rPr>
      <w:sz w:val="18"/>
      <w:szCs w:val="18"/>
    </w:rPr>
  </w:style>
  <w:style w:type="paragraph" w:styleId="3">
    <w:name w:val="footer"/>
    <w:basedOn w:val="1"/>
    <w:link w:val="11"/>
    <w:unhideWhenUsed/>
    <w:uiPriority w:val="99"/>
    <w:pPr>
      <w:tabs>
        <w:tab w:val="center" w:pos="4153"/>
        <w:tab w:val="right" w:pos="8306"/>
      </w:tabs>
      <w:snapToGrid w:val="0"/>
      <w:jc w:val="left"/>
    </w:pPr>
    <w:rPr>
      <w:sz w:val="18"/>
      <w:szCs w:val="18"/>
    </w:rPr>
  </w:style>
  <w:style w:type="paragraph" w:styleId="4">
    <w:name w:val="header"/>
    <w:basedOn w:val="1"/>
    <w:link w:val="10"/>
    <w:unhideWhenUsed/>
    <w:uiPriority w:val="99"/>
    <w:pPr>
      <w:pBdr>
        <w:bottom w:val="single" w:color="auto" w:sz="6" w:space="1"/>
      </w:pBdr>
      <w:tabs>
        <w:tab w:val="center" w:pos="4153"/>
        <w:tab w:val="right" w:pos="8306"/>
      </w:tabs>
      <w:snapToGrid w:val="0"/>
      <w:jc w:val="center"/>
    </w:pPr>
    <w:rPr>
      <w:sz w:val="18"/>
      <w:szCs w:val="18"/>
    </w:rPr>
  </w:style>
  <w:style w:type="table" w:styleId="6">
    <w:name w:val="Table Grid"/>
    <w:basedOn w:val="5"/>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Emphasis"/>
    <w:basedOn w:val="7"/>
    <w:qFormat/>
    <w:uiPriority w:val="20"/>
    <w:rPr>
      <w:i/>
      <w:iCs/>
    </w:rPr>
  </w:style>
  <w:style w:type="character" w:styleId="9">
    <w:name w:val="Hyperlink"/>
    <w:basedOn w:val="7"/>
    <w:unhideWhenUsed/>
    <w:uiPriority w:val="99"/>
    <w:rPr>
      <w:color w:val="0563C1" w:themeColor="hyperlink"/>
      <w:u w:val="single"/>
      <w14:textFill>
        <w14:solidFill>
          <w14:schemeClr w14:val="hlink"/>
        </w14:solidFill>
      </w14:textFill>
    </w:rPr>
  </w:style>
  <w:style w:type="character" w:customStyle="1" w:styleId="10">
    <w:name w:val="页眉 Char"/>
    <w:basedOn w:val="7"/>
    <w:link w:val="4"/>
    <w:uiPriority w:val="99"/>
    <w:rPr>
      <w:sz w:val="18"/>
      <w:szCs w:val="18"/>
    </w:rPr>
  </w:style>
  <w:style w:type="character" w:customStyle="1" w:styleId="11">
    <w:name w:val="页脚 Char"/>
    <w:basedOn w:val="7"/>
    <w:link w:val="3"/>
    <w:uiPriority w:val="99"/>
    <w:rPr>
      <w:sz w:val="18"/>
      <w:szCs w:val="18"/>
    </w:rPr>
  </w:style>
  <w:style w:type="paragraph" w:styleId="12">
    <w:name w:val="List Paragraph"/>
    <w:basedOn w:val="1"/>
    <w:qFormat/>
    <w:uiPriority w:val="34"/>
    <w:pPr>
      <w:ind w:firstLine="420" w:firstLineChars="200"/>
    </w:pPr>
  </w:style>
  <w:style w:type="character" w:customStyle="1" w:styleId="13">
    <w:name w:val="批注框文本 Char"/>
    <w:basedOn w:val="7"/>
    <w:link w:val="2"/>
    <w:semiHidden/>
    <w:uiPriority w:val="99"/>
    <w:rPr>
      <w:sz w:val="18"/>
      <w:szCs w:val="18"/>
    </w:rPr>
  </w:style>
  <w:style w:type="paragraph" w:customStyle="1" w:styleId="14">
    <w:name w:val="Revision"/>
    <w:hidden/>
    <w:semiHidden/>
    <w:uiPriority w:val="99"/>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7" Type="http://schemas.openxmlformats.org/officeDocument/2006/relationships/fontTable" Target="fontTable.xml"/><Relationship Id="rId6" Type="http://schemas.openxmlformats.org/officeDocument/2006/relationships/customXml" Target="../customXml/item1.xml"/><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6</Pages>
  <Words>342</Words>
  <Characters>1952</Characters>
  <Lines>16</Lines>
  <Paragraphs>4</Paragraphs>
  <TotalTime>0</TotalTime>
  <ScaleCrop>false</ScaleCrop>
  <LinksUpToDate>false</LinksUpToDate>
  <CharactersWithSpaces>2290</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2024-12-12T08:01:00Z</dcterms:created>
  <dc:creator>admin</dc:creator>
  <cp:lastModifiedBy>池星辰(chixingchen)</cp:lastModifiedBy>
  <cp:lastPrinted>2024-07-01T10:22:00Z</cp:lastPrinted>
  <dcterms:modified xsi:type="dcterms:W3CDTF">2025-01-02T06:37:36Z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