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D6BB3">
      <w:pPr>
        <w:rPr>
          <w:rFonts w:hint="eastAsia" w:ascii="仿宋" w:hAnsi="仿宋" w:eastAsia="仿宋"/>
          <w:b/>
          <w:bCs/>
          <w:w w:val="9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附件1：</w:t>
      </w:r>
      <w:r>
        <w:rPr>
          <w:rFonts w:hint="eastAsia" w:ascii="仿宋" w:hAnsi="仿宋" w:eastAsia="仿宋"/>
          <w:b/>
          <w:bCs/>
          <w:w w:val="90"/>
          <w:sz w:val="28"/>
          <w:szCs w:val="28"/>
        </w:rPr>
        <w:t>南京市溧水区人民医院门诊三楼（</w:t>
      </w:r>
      <w:bookmarkStart w:id="0" w:name="_GoBack"/>
      <w:bookmarkEnd w:id="0"/>
      <w:r>
        <w:rPr>
          <w:rFonts w:hint="eastAsia" w:ascii="仿宋" w:hAnsi="仿宋" w:eastAsia="仿宋"/>
          <w:b/>
          <w:bCs/>
          <w:w w:val="90"/>
          <w:sz w:val="28"/>
          <w:szCs w:val="28"/>
        </w:rPr>
        <w:t>原规培室）配镜中心评分细则</w:t>
      </w:r>
    </w:p>
    <w:tbl>
      <w:tblPr>
        <w:tblStyle w:val="3"/>
        <w:tblW w:w="10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38"/>
        <w:gridCol w:w="8041"/>
      </w:tblGrid>
      <w:tr w14:paraId="06AD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noWrap w:val="0"/>
            <w:vAlign w:val="center"/>
          </w:tcPr>
          <w:p w14:paraId="11F9BF63">
            <w:pPr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评分内容</w:t>
            </w:r>
          </w:p>
        </w:tc>
        <w:tc>
          <w:tcPr>
            <w:tcW w:w="1238" w:type="dxa"/>
            <w:noWrap w:val="0"/>
            <w:vAlign w:val="center"/>
          </w:tcPr>
          <w:p w14:paraId="79A8F1D0">
            <w:pPr>
              <w:jc w:val="center"/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总分值</w:t>
            </w:r>
          </w:p>
        </w:tc>
        <w:tc>
          <w:tcPr>
            <w:tcW w:w="8041" w:type="dxa"/>
            <w:noWrap w:val="0"/>
            <w:vAlign w:val="top"/>
          </w:tcPr>
          <w:p w14:paraId="57401BC8">
            <w:pPr>
              <w:jc w:val="center"/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评分细则</w:t>
            </w:r>
          </w:p>
        </w:tc>
      </w:tr>
      <w:tr w14:paraId="4919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4" w:type="dxa"/>
            <w:noWrap w:val="0"/>
            <w:vAlign w:val="center"/>
          </w:tcPr>
          <w:p w14:paraId="60E7A426">
            <w:pPr>
              <w:jc w:val="center"/>
              <w:rPr>
                <w:rFonts w:hint="default" w:ascii="仿宋" w:hAnsi="仿宋" w:eastAsia="仿宋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受让报价</w:t>
            </w:r>
          </w:p>
        </w:tc>
        <w:tc>
          <w:tcPr>
            <w:tcW w:w="1238" w:type="dxa"/>
            <w:noWrap w:val="0"/>
            <w:vAlign w:val="center"/>
          </w:tcPr>
          <w:p w14:paraId="3651CA6D">
            <w:pPr>
              <w:spacing w:line="440" w:lineRule="exact"/>
              <w:jc w:val="center"/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55分</w:t>
            </w:r>
          </w:p>
        </w:tc>
        <w:tc>
          <w:tcPr>
            <w:tcW w:w="8041" w:type="dxa"/>
            <w:noWrap w:val="0"/>
            <w:vAlign w:val="top"/>
          </w:tcPr>
          <w:p w14:paraId="00712EF7">
            <w:pPr>
              <w:rPr>
                <w:rFonts w:ascii="仿宋" w:hAnsi="仿宋" w:eastAsia="仿宋" w:cs="宋体"/>
                <w:bCs/>
                <w:sz w:val="22"/>
                <w:szCs w:val="22"/>
              </w:rPr>
            </w:pPr>
          </w:p>
          <w:p w14:paraId="541B4468">
            <w:pPr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满足评估价27.5万／年得50分，低于评估价不得分，每增加一万加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分，最多加5分。</w:t>
            </w:r>
          </w:p>
        </w:tc>
      </w:tr>
      <w:tr w14:paraId="7762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214" w:type="dxa"/>
            <w:noWrap w:val="0"/>
            <w:vAlign w:val="center"/>
          </w:tcPr>
          <w:p w14:paraId="5736CD0B">
            <w:pPr>
              <w:jc w:val="center"/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服务方案</w:t>
            </w:r>
          </w:p>
        </w:tc>
        <w:tc>
          <w:tcPr>
            <w:tcW w:w="1238" w:type="dxa"/>
            <w:noWrap w:val="0"/>
            <w:vAlign w:val="center"/>
          </w:tcPr>
          <w:p w14:paraId="3B890D95">
            <w:pPr>
              <w:spacing w:line="440" w:lineRule="exact"/>
              <w:jc w:val="center"/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分</w:t>
            </w:r>
          </w:p>
        </w:tc>
        <w:tc>
          <w:tcPr>
            <w:tcW w:w="8041" w:type="dxa"/>
            <w:noWrap w:val="0"/>
            <w:vAlign w:val="top"/>
          </w:tcPr>
          <w:p w14:paraId="462B99EF">
            <w:pPr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1.项目需求理解：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对本项目背景、服务目标、服务需求及必要性的理解是否准确、深入、详细等方面进行综合打分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（意向受让方提供方案资料）</w:t>
            </w:r>
          </w:p>
          <w:p w14:paraId="4846CF7C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①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对本项目背景、服务目标、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服务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需求及必要性的理解准确、深入、详细的得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1DB264F3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②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对本项目背景、服务目标、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服务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需求及必要性的理解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较为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准确、深入、详细的得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1C3DB98F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③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对本项目背景、服务目标、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服务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需求及必要性的理解准确、深入、详细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一般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的得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3C54AD2B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④未提供的不得分。</w:t>
            </w:r>
          </w:p>
          <w:p w14:paraId="707FCA59">
            <w:pPr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2.根据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提供的合作实施方案进行打分</w:t>
            </w:r>
          </w:p>
          <w:p w14:paraId="6130879E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①内容科学合理、完整、切实可行的得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0AD27EB5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②内容完整但科学合理及可行性欠缺的得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4DB97AB8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③方案不全面、不具备可执行性的得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18D971D4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④未提供的不得分。</w:t>
            </w:r>
          </w:p>
          <w:p w14:paraId="35B84695">
            <w:pPr>
              <w:rPr>
                <w:rStyle w:val="5"/>
                <w:rFonts w:ascii="仿宋" w:hAnsi="仿宋" w:eastAsia="仿宋"/>
                <w:bCs/>
                <w:color w:val="000000"/>
                <w:spacing w:val="7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3.</w:t>
            </w:r>
            <w:r>
              <w:rPr>
                <w:rStyle w:val="5"/>
                <w:rFonts w:ascii="仿宋" w:hAnsi="仿宋" w:eastAsia="仿宋"/>
                <w:bCs/>
                <w:color w:val="000000"/>
                <w:spacing w:val="7"/>
                <w:sz w:val="22"/>
                <w:szCs w:val="22"/>
              </w:rPr>
              <w:t>根据</w:t>
            </w:r>
            <w:r>
              <w:rPr>
                <w:rStyle w:val="5"/>
                <w:rFonts w:hint="eastAsia" w:ascii="仿宋" w:hAnsi="仿宋" w:eastAsia="仿宋"/>
                <w:bCs/>
                <w:color w:val="000000"/>
                <w:spacing w:val="7"/>
                <w:sz w:val="22"/>
                <w:szCs w:val="22"/>
              </w:rPr>
              <w:t>意向受让方</w:t>
            </w:r>
            <w:r>
              <w:rPr>
                <w:rStyle w:val="5"/>
                <w:rFonts w:ascii="仿宋" w:hAnsi="仿宋" w:eastAsia="仿宋"/>
                <w:bCs/>
                <w:color w:val="000000"/>
                <w:spacing w:val="7"/>
                <w:sz w:val="22"/>
                <w:szCs w:val="22"/>
              </w:rPr>
              <w:t>提供针对本项目的管理制度方案</w:t>
            </w:r>
            <w:r>
              <w:rPr>
                <w:rStyle w:val="5"/>
                <w:rFonts w:hint="eastAsia" w:ascii="仿宋" w:hAnsi="仿宋" w:eastAsia="仿宋"/>
                <w:bCs/>
                <w:color w:val="000000"/>
                <w:spacing w:val="7"/>
                <w:sz w:val="22"/>
                <w:szCs w:val="22"/>
              </w:rPr>
              <w:t>进行</w:t>
            </w:r>
            <w:r>
              <w:rPr>
                <w:rStyle w:val="5"/>
                <w:rFonts w:ascii="仿宋" w:hAnsi="仿宋" w:eastAsia="仿宋"/>
                <w:bCs/>
                <w:color w:val="000000"/>
                <w:spacing w:val="7"/>
                <w:sz w:val="22"/>
                <w:szCs w:val="22"/>
              </w:rPr>
              <w:t>评分</w:t>
            </w:r>
          </w:p>
          <w:p w14:paraId="10E2BF33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①组织架构完善、人员配置满足项目需求、管理机制健全的，得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5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137E9214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②组织架构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较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完善、人员配置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基本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满足项目需求、管理机制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较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健全的，得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78F5E294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③组织架构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不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完善、人员配置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较差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、管理机制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不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健全的，得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37027F95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④未提供的不得分。</w:t>
            </w:r>
          </w:p>
          <w:p w14:paraId="2594B661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质量管控：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须有一系列保证服务质量的制度、实施方案和考核办法，根据应答情况打分</w:t>
            </w:r>
          </w:p>
          <w:p w14:paraId="06F3ADE6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①方案全面、合理，具有针对性，科学合理具备可执行性的得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5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020968BF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②方案考虑的相对不够全面，但依旧具备可行性的得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79B76DCA">
            <w:pP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③方案不全面、不具备可执行性的得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分；</w:t>
            </w:r>
          </w:p>
          <w:p w14:paraId="1BD20C09">
            <w:pPr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zh-CN"/>
              </w:rPr>
              <w:t>④未提供的不得分。</w:t>
            </w:r>
          </w:p>
        </w:tc>
      </w:tr>
      <w:tr w14:paraId="6C1C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14" w:type="dxa"/>
            <w:noWrap w:val="0"/>
            <w:vAlign w:val="center"/>
          </w:tcPr>
          <w:p w14:paraId="23ED8C57">
            <w:pPr>
              <w:jc w:val="center"/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企业综合实力</w:t>
            </w:r>
          </w:p>
        </w:tc>
        <w:tc>
          <w:tcPr>
            <w:tcW w:w="1238" w:type="dxa"/>
            <w:noWrap w:val="0"/>
            <w:vAlign w:val="center"/>
          </w:tcPr>
          <w:p w14:paraId="2B2D5F3D">
            <w:pPr>
              <w:spacing w:line="440" w:lineRule="exact"/>
              <w:jc w:val="center"/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分</w:t>
            </w:r>
          </w:p>
        </w:tc>
        <w:tc>
          <w:tcPr>
            <w:tcW w:w="8041" w:type="dxa"/>
            <w:noWrap w:val="0"/>
            <w:vAlign w:val="top"/>
          </w:tcPr>
          <w:p w14:paraId="6FABA1EA">
            <w:pPr>
              <w:numPr>
                <w:ilvl w:val="0"/>
                <w:numId w:val="1"/>
              </w:numPr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服务人员具有主管部门颁发的卫生职业眼视光技术的资格证的得2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.5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分，未提供不得分。</w:t>
            </w:r>
          </w:p>
          <w:p w14:paraId="5BFEB7B5">
            <w:pPr>
              <w:numPr>
                <w:ilvl w:val="0"/>
                <w:numId w:val="1"/>
              </w:numPr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服务人员眼视光专业且具有高级验光技师资格证的，每提供一个得2分，最多得4分，未提供不得分。</w:t>
            </w:r>
          </w:p>
          <w:p w14:paraId="653C237B">
            <w:pPr>
              <w:numPr>
                <w:ilvl w:val="0"/>
                <w:numId w:val="1"/>
              </w:numPr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服务人员眼视光专业且具有高级定配证的，每提供一个得2分，最多得4分，未提供不得分。</w:t>
            </w:r>
          </w:p>
          <w:p w14:paraId="21DBA4C8">
            <w:pPr>
              <w:numPr>
                <w:ilvl w:val="0"/>
                <w:numId w:val="1"/>
              </w:numPr>
              <w:rPr>
                <w:rFonts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服务人员具有“儿童青少年近视防控”证书的，每提供一个得2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.5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分，最多得2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.5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分，未提供不得分。</w:t>
            </w:r>
          </w:p>
          <w:p w14:paraId="7AA7A4AC">
            <w:pPr>
              <w:tabs>
                <w:tab w:val="left" w:pos="312"/>
              </w:tabs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  <w:lang w:bidi="ar"/>
              </w:rPr>
              <w:t>（须提供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相关资格证书复印件加盖公章且以上人员须提供2024年以来近六个月的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单位社保证明。）</w:t>
            </w:r>
          </w:p>
        </w:tc>
      </w:tr>
      <w:tr w14:paraId="2B11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noWrap w:val="0"/>
            <w:vAlign w:val="center"/>
          </w:tcPr>
          <w:p w14:paraId="6677DDBB">
            <w:pPr>
              <w:jc w:val="center"/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业绩</w:t>
            </w:r>
          </w:p>
        </w:tc>
        <w:tc>
          <w:tcPr>
            <w:tcW w:w="1238" w:type="dxa"/>
            <w:noWrap w:val="0"/>
            <w:vAlign w:val="center"/>
          </w:tcPr>
          <w:p w14:paraId="51E5EE8C">
            <w:pPr>
              <w:spacing w:line="440" w:lineRule="exact"/>
              <w:jc w:val="center"/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分</w:t>
            </w:r>
          </w:p>
        </w:tc>
        <w:tc>
          <w:tcPr>
            <w:tcW w:w="8041" w:type="dxa"/>
            <w:noWrap w:val="0"/>
            <w:vAlign w:val="top"/>
          </w:tcPr>
          <w:p w14:paraId="60294A1F">
            <w:pPr>
              <w:spacing w:line="400" w:lineRule="exact"/>
              <w:rPr>
                <w:rFonts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1、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提供2021年以来类似公立医院合作项目业绩合同的，提供一个得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分，最高得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</w:rPr>
              <w:t>分。未提供不得分。（须提供合同复印件加盖公章，合作单位合同评价并盖单位公章）</w:t>
            </w:r>
          </w:p>
          <w:p w14:paraId="5AE6316D">
            <w:pPr>
              <w:numPr>
                <w:ilvl w:val="0"/>
                <w:numId w:val="2"/>
              </w:numPr>
              <w:rPr>
                <w:rFonts w:hint="eastAsia" w:ascii="仿宋" w:hAnsi="仿宋" w:eastAsia="仿宋" w:cs="宋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2"/>
                <w:szCs w:val="22"/>
                <w:highlight w:val="none"/>
                <w:lang w:eastAsia="zh-CN"/>
              </w:rPr>
              <w:t>意向受让方</w:t>
            </w:r>
            <w:r>
              <w:rPr>
                <w:rFonts w:hint="eastAsia" w:ascii="仿宋" w:hAnsi="仿宋" w:eastAsia="仿宋" w:cs="宋体"/>
                <w:bCs/>
                <w:sz w:val="22"/>
                <w:szCs w:val="22"/>
                <w:highlight w:val="none"/>
              </w:rPr>
              <w:t>有和各地残疾人联合会合作，具有运营低视力康复项目的经验，得3分，最多得3分。（在合同内容里须有体现，合同数量不累加。）</w:t>
            </w:r>
          </w:p>
        </w:tc>
      </w:tr>
    </w:tbl>
    <w:p w14:paraId="41CEED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087F8"/>
    <w:multiLevelType w:val="singleLevel"/>
    <w:tmpl w:val="1F9087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EB337A"/>
    <w:multiLevelType w:val="multilevel"/>
    <w:tmpl w:val="74EB337A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85E41"/>
    <w:rsid w:val="78581143"/>
    <w:rsid w:val="7F18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默认段落字体111"/>
    <w:unhideWhenUsed/>
    <w:qFormat/>
    <w:uiPriority w:val="1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2024-11-29T02:07:00Z</dcterms:created>
  <dc:creator>冯飞扬</dc:creator>
  <cp:lastModifiedBy>冯飞扬</cp:lastModifiedBy>
  <dcterms:modified xsi:type="dcterms:W3CDTF">2024-11-29T02:08:29Z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D084A440438947518659F25C2301F5E8_11</vt:lpwstr>
  </property>
</Properties>
</file>