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6443">
      <w:pPr>
        <w:spacing w:line="360" w:lineRule="auto"/>
        <w:jc w:val="center"/>
        <w:rPr>
          <w:rFonts w:hint="eastAsia"/>
          <w:b/>
          <w:bCs/>
          <w:color w:val="auto"/>
          <w:sz w:val="30"/>
          <w:szCs w:val="30"/>
          <w:highlight w:val="none"/>
        </w:rPr>
      </w:pPr>
      <w:r>
        <w:rPr>
          <w:rFonts w:hint="eastAsia"/>
          <w:b/>
          <w:bCs/>
          <w:color w:val="auto"/>
          <w:sz w:val="30"/>
          <w:szCs w:val="30"/>
          <w:highlight w:val="none"/>
        </w:rPr>
        <w:t>南京市溧水区中医院后勤楼</w:t>
      </w:r>
      <w:r>
        <w:rPr>
          <w:rFonts w:hint="eastAsia"/>
          <w:b/>
          <w:bCs/>
          <w:color w:val="auto"/>
          <w:sz w:val="30"/>
          <w:szCs w:val="30"/>
          <w:highlight w:val="none"/>
          <w:lang w:val="en-US" w:eastAsia="zh-CN"/>
        </w:rPr>
        <w:t>二楼职工</w:t>
      </w:r>
      <w:r>
        <w:rPr>
          <w:rFonts w:hint="eastAsia"/>
          <w:b/>
          <w:bCs/>
          <w:color w:val="auto"/>
          <w:sz w:val="30"/>
          <w:szCs w:val="30"/>
          <w:highlight w:val="none"/>
        </w:rPr>
        <w:t>食堂</w:t>
      </w:r>
      <w:r>
        <w:rPr>
          <w:rFonts w:hint="eastAsia"/>
          <w:b/>
          <w:bCs/>
          <w:color w:val="auto"/>
          <w:sz w:val="30"/>
          <w:szCs w:val="30"/>
          <w:highlight w:val="none"/>
          <w:lang w:val="en-US" w:eastAsia="zh-CN"/>
        </w:rPr>
        <w:t>经营权转让</w:t>
      </w:r>
      <w:r>
        <w:rPr>
          <w:rFonts w:hint="eastAsia"/>
          <w:b/>
          <w:bCs/>
          <w:color w:val="auto"/>
          <w:sz w:val="30"/>
          <w:szCs w:val="30"/>
          <w:highlight w:val="none"/>
        </w:rPr>
        <w:t>方案</w:t>
      </w:r>
    </w:p>
    <w:p w14:paraId="5C7A3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南京市溧水区中医院始建于1981年，是一所集医疗、教学、科研、康复于一体的综合性三级乙等中医医院，是国家级爱婴医院、江苏省中西医结合医院南部院区、扬州大学医学院附属医院、南京中医药大学附属医院（筹）、江苏省中医院基层卫生服务基地、江苏卫生健康职业学院驻点教学基地、南京医科大学附属眼科医院溧水分部、“白内障无障碍省”扶贫定点医院、南京市白内障复明定点医院、溧水区眼病防治中心、溧水区城镇职工基本医疗保险、工伤保险、新农合定点医院、惠民定点中医院。本院后勤楼二楼设有职工食堂，现受让方经营权转让合同将到期。</w:t>
      </w:r>
    </w:p>
    <w:p w14:paraId="60DDE25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项目基本情况</w:t>
      </w:r>
    </w:p>
    <w:p w14:paraId="4E60F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（一）项目名称：</w:t>
      </w:r>
      <w:r>
        <w:rPr>
          <w:rFonts w:hint="eastAsia"/>
          <w:color w:val="auto"/>
          <w:sz w:val="24"/>
          <w:szCs w:val="24"/>
          <w:highlight w:val="none"/>
        </w:rPr>
        <w:t>南京市溧水区中医院后勤楼</w:t>
      </w:r>
      <w:r>
        <w:rPr>
          <w:rFonts w:hint="eastAsia"/>
          <w:color w:val="auto"/>
          <w:sz w:val="24"/>
          <w:szCs w:val="24"/>
          <w:highlight w:val="none"/>
          <w:lang w:val="en-US" w:eastAsia="zh-CN"/>
        </w:rPr>
        <w:t>二楼职工</w:t>
      </w:r>
      <w:r>
        <w:rPr>
          <w:rFonts w:hint="eastAsia"/>
          <w:color w:val="auto"/>
          <w:sz w:val="24"/>
          <w:szCs w:val="24"/>
          <w:highlight w:val="none"/>
        </w:rPr>
        <w:t>食堂</w:t>
      </w:r>
      <w:r>
        <w:rPr>
          <w:rFonts w:hint="eastAsia"/>
          <w:color w:val="auto"/>
          <w:sz w:val="24"/>
          <w:szCs w:val="24"/>
          <w:highlight w:val="none"/>
          <w:lang w:val="en-US" w:eastAsia="zh-CN"/>
        </w:rPr>
        <w:t>经营权转让</w:t>
      </w:r>
    </w:p>
    <w:p w14:paraId="2E58F8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（二）项目编号：</w:t>
      </w:r>
    </w:p>
    <w:p w14:paraId="4DC3B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trike/>
          <w:dstrike w:val="0"/>
          <w:color w:val="auto"/>
          <w:sz w:val="24"/>
          <w:szCs w:val="24"/>
          <w:highlight w:val="none"/>
          <w:lang w:val="en-US" w:eastAsia="zh-CN"/>
        </w:rPr>
      </w:pPr>
      <w:r>
        <w:rPr>
          <w:rFonts w:hint="eastAsia"/>
          <w:color w:val="auto"/>
          <w:sz w:val="24"/>
          <w:szCs w:val="24"/>
          <w:highlight w:val="none"/>
          <w:lang w:val="en-US" w:eastAsia="zh-CN"/>
        </w:rPr>
        <w:t>（三）转让底价：15.29万元/年</w:t>
      </w:r>
    </w:p>
    <w:p w14:paraId="49D7F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（四）转让期限：2年</w:t>
      </w:r>
    </w:p>
    <w:p w14:paraId="6B5EB455">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（五）转让方：南京市溧水区中医院</w:t>
      </w:r>
    </w:p>
    <w:p w14:paraId="6A6E74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二、受让方资格要求</w:t>
      </w:r>
    </w:p>
    <w:p w14:paraId="4DA3F15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（一）须具有企事业单位餐饮服务500人以上的经营经验（须提供合同复印件及项目服务人数相关证明资料）；</w:t>
      </w:r>
    </w:p>
    <w:p w14:paraId="2A34BC0C">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（二）溧水区中医院一楼病员食堂及二楼职工食堂不得为同一家受让单位或者存在控股、管理等关系的单位（意向受让方提供承诺书加盖公章）。</w:t>
      </w:r>
    </w:p>
    <w:p w14:paraId="13A9832D">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auto"/>
          <w:sz w:val="24"/>
          <w:szCs w:val="24"/>
          <w:highlight w:val="none"/>
          <w:lang w:val="en-US" w:eastAsia="zh-CN"/>
        </w:rPr>
      </w:pPr>
      <w:r>
        <w:rPr>
          <w:rFonts w:hint="eastAsia"/>
          <w:b/>
          <w:bCs/>
          <w:color w:val="auto"/>
          <w:sz w:val="24"/>
          <w:szCs w:val="24"/>
          <w:highlight w:val="none"/>
          <w:lang w:val="en-US" w:eastAsia="zh-CN"/>
        </w:rPr>
        <w:t>三、转让范围</w:t>
      </w:r>
    </w:p>
    <w:p w14:paraId="56B33ED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（一） 转让标的为南京市溧水区中医院后勤楼二楼职工食堂，位于南京市溧水区永阳街道文昌路201号。</w:t>
      </w:r>
    </w:p>
    <w:p w14:paraId="0034463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（二） 房屋及设备配置情况：二层职工食堂面积约1200平方米，配置有冷热熟食间、冷库、主副食库、清洁间、初加工间、切配间、库房、熟食冷藏库、烹饪间、面点间、蒸煮间、售卖间、洗碗消毒间、厨房送排风系统等规范工作用房。</w:t>
      </w:r>
    </w:p>
    <w:p w14:paraId="4AC6C0A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 使用用途：后勤楼二层为职工食堂，受让方负责为转让方职工、第三方服务人员、进修生、实习生、合作单位员工等持转让方发放饭卡的就餐人员，提供营养餐制作及订餐配送服务，每天供应早、中、晚餐，对需要配送服务的职工专人送餐到科室。受让方对转让方提出的任何就餐服务需求必须无条件满足，按相关约定收取费用，不允许使用转让方食堂及设施承接院外的餐饮外送业务以及其他各企事业单位的餐饮外包业务。</w:t>
      </w:r>
    </w:p>
    <w:p w14:paraId="00D56AE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四、经营权</w:t>
      </w:r>
      <w:bookmarkStart w:id="0" w:name="_GoBack"/>
      <w:bookmarkEnd w:id="0"/>
      <w:r>
        <w:rPr>
          <w:rFonts w:hint="eastAsia"/>
          <w:b/>
          <w:bCs/>
          <w:color w:val="auto"/>
          <w:sz w:val="24"/>
          <w:szCs w:val="24"/>
          <w:highlight w:val="none"/>
          <w:lang w:val="en-US" w:eastAsia="zh-CN"/>
        </w:rPr>
        <w:t>转让条件</w:t>
      </w:r>
    </w:p>
    <w:p w14:paraId="04D43DE8">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标的物转让价格、转让期与履约保证金</w:t>
      </w:r>
    </w:p>
    <w:p w14:paraId="0915AF0F">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转让底价为15.29万元/年，意向受让方报价不得低于底价。</w:t>
      </w:r>
    </w:p>
    <w:p w14:paraId="5C58D0B6">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转让金支付方式：</w:t>
      </w:r>
      <w:r>
        <w:rPr>
          <w:rFonts w:hint="eastAsia"/>
          <w:color w:val="auto"/>
          <w:sz w:val="24"/>
          <w:szCs w:val="24"/>
          <w:highlight w:val="none"/>
        </w:rPr>
        <w:t>先付后</w:t>
      </w:r>
      <w:r>
        <w:rPr>
          <w:rFonts w:hint="eastAsia"/>
          <w:color w:val="auto"/>
          <w:sz w:val="24"/>
          <w:szCs w:val="24"/>
          <w:highlight w:val="none"/>
          <w:lang w:val="en-US" w:eastAsia="zh-CN"/>
        </w:rPr>
        <w:t>用</w:t>
      </w:r>
      <w:r>
        <w:rPr>
          <w:rFonts w:hint="eastAsia"/>
          <w:color w:val="auto"/>
          <w:sz w:val="24"/>
          <w:szCs w:val="24"/>
          <w:highlight w:val="none"/>
        </w:rPr>
        <w:t>，两年</w:t>
      </w:r>
      <w:r>
        <w:rPr>
          <w:rFonts w:hint="eastAsia"/>
          <w:color w:val="auto"/>
          <w:sz w:val="24"/>
          <w:szCs w:val="24"/>
          <w:highlight w:val="none"/>
          <w:lang w:val="en-US" w:eastAsia="zh-CN"/>
        </w:rPr>
        <w:t>转让</w:t>
      </w:r>
      <w:r>
        <w:rPr>
          <w:rFonts w:hint="eastAsia"/>
          <w:color w:val="auto"/>
          <w:sz w:val="24"/>
          <w:szCs w:val="24"/>
          <w:highlight w:val="none"/>
        </w:rPr>
        <w:t>金一次性付清</w:t>
      </w:r>
      <w:r>
        <w:rPr>
          <w:rFonts w:hint="eastAsia"/>
          <w:color w:val="auto"/>
          <w:sz w:val="24"/>
          <w:szCs w:val="24"/>
          <w:highlight w:val="none"/>
          <w:lang w:eastAsia="zh-CN"/>
        </w:rPr>
        <w:t>。</w:t>
      </w:r>
    </w:p>
    <w:p w14:paraId="2D6DC10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经营权转让期：2年。</w:t>
      </w:r>
    </w:p>
    <w:p w14:paraId="1F591BC7">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履约保证金（押金）</w:t>
      </w:r>
    </w:p>
    <w:p w14:paraId="40D647AC">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履约保证金金额：</w:t>
      </w:r>
      <w:r>
        <w:rPr>
          <w:rFonts w:hint="eastAsia"/>
          <w:b/>
          <w:bCs/>
          <w:color w:val="auto"/>
          <w:sz w:val="24"/>
          <w:szCs w:val="24"/>
          <w:highlight w:val="none"/>
          <w:u w:val="single"/>
          <w:lang w:val="en-US" w:eastAsia="zh-CN"/>
        </w:rPr>
        <w:t>伍万元</w:t>
      </w:r>
      <w:r>
        <w:rPr>
          <w:rFonts w:hint="eastAsia"/>
          <w:color w:val="auto"/>
          <w:sz w:val="24"/>
          <w:szCs w:val="24"/>
          <w:highlight w:val="none"/>
          <w:u w:val="single"/>
          <w:lang w:val="en-US" w:eastAsia="zh-CN"/>
        </w:rPr>
        <w:t>。</w:t>
      </w:r>
    </w:p>
    <w:p w14:paraId="7C4C0AE3">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履约保证金的缴纳：被确认为受让方后，应在</w:t>
      </w:r>
      <w:r>
        <w:rPr>
          <w:rFonts w:hint="eastAsia"/>
          <w:b/>
          <w:bCs/>
          <w:color w:val="auto"/>
          <w:sz w:val="24"/>
          <w:szCs w:val="24"/>
          <w:highlight w:val="none"/>
          <w:lang w:val="en-US" w:eastAsia="zh-CN"/>
        </w:rPr>
        <w:t>5</w:t>
      </w:r>
      <w:r>
        <w:rPr>
          <w:rFonts w:hint="eastAsia"/>
          <w:color w:val="auto"/>
          <w:sz w:val="24"/>
          <w:szCs w:val="24"/>
          <w:highlight w:val="none"/>
          <w:lang w:val="en-US" w:eastAsia="zh-CN"/>
        </w:rPr>
        <w:t>个工作日内向转让方一次性</w:t>
      </w:r>
      <w:r>
        <w:rPr>
          <w:rFonts w:hint="eastAsia"/>
          <w:sz w:val="24"/>
          <w:szCs w:val="24"/>
          <w:highlight w:val="none"/>
          <w:lang w:val="en-US" w:eastAsia="zh-CN"/>
        </w:rPr>
        <w:t>缴纳履约保证金。</w:t>
      </w:r>
    </w:p>
    <w:p w14:paraId="215B0C79">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履约保证金的退还条件：受让方如按要求完全履行合同，且经营期内未出现食物中毒、财产损坏、安全等问题，待转让方验房同时对所有设施设备清点、确定其完好后，结清相关费用（包括协议期间受让方应承担的违约金、赔偿款、设备维修费等），受让方将房屋钥匙交还后，转让方在合同期满之日起30日内向受让方一次性无息退还；若财产损坏，由受让方承担全部责任，视情节轻重在履约保证金中适当扣除赔偿金额，不足以赔偿转让方损失的，受让方需另行赔偿；若发生食物中毒、安全生产等重大事件，转让方有权取消受让方的资格，并没收履约保证金，由此引起的一切责任由受让方承担。</w:t>
      </w:r>
    </w:p>
    <w:p w14:paraId="1ABF896B">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受让方提供虚假材料或虚假承诺的，转让方有权取消其受让资格，并没收履约保证金；受让方应赔偿转让方相关损失。</w:t>
      </w:r>
    </w:p>
    <w:p w14:paraId="23BB894E">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信誉保证金</w:t>
      </w:r>
    </w:p>
    <w:p w14:paraId="6FE125F0">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lang w:eastAsia="zh-CN"/>
        </w:rPr>
      </w:pPr>
      <w:r>
        <w:rPr>
          <w:rFonts w:hint="eastAsia"/>
          <w:color w:val="auto"/>
          <w:sz w:val="24"/>
          <w:szCs w:val="24"/>
          <w:highlight w:val="none"/>
          <w:lang w:val="en-US" w:eastAsia="zh-CN"/>
        </w:rPr>
        <w:t>信誉保证金的金额：</w:t>
      </w:r>
      <w:r>
        <w:rPr>
          <w:rFonts w:hint="eastAsia"/>
          <w:sz w:val="24"/>
          <w:szCs w:val="24"/>
          <w:highlight w:val="none"/>
        </w:rPr>
        <w:t>意向</w:t>
      </w:r>
      <w:r>
        <w:rPr>
          <w:rFonts w:hint="eastAsia"/>
          <w:color w:val="auto"/>
          <w:sz w:val="24"/>
          <w:szCs w:val="24"/>
          <w:highlight w:val="none"/>
          <w:lang w:val="en-US" w:eastAsia="zh-CN"/>
        </w:rPr>
        <w:t>受让</w:t>
      </w:r>
      <w:r>
        <w:rPr>
          <w:rFonts w:hint="eastAsia"/>
          <w:sz w:val="24"/>
          <w:szCs w:val="24"/>
          <w:highlight w:val="none"/>
        </w:rPr>
        <w:t>方需缴纳信誉保证金</w:t>
      </w:r>
      <w:r>
        <w:rPr>
          <w:rFonts w:hint="eastAsia"/>
          <w:sz w:val="24"/>
          <w:szCs w:val="24"/>
          <w:highlight w:val="none"/>
          <w:lang w:eastAsia="zh-CN"/>
        </w:rPr>
        <w:t>：</w:t>
      </w:r>
      <w:r>
        <w:rPr>
          <w:rFonts w:hint="eastAsia"/>
          <w:b/>
          <w:bCs/>
          <w:sz w:val="24"/>
          <w:szCs w:val="24"/>
          <w:highlight w:val="none"/>
          <w:u w:val="single"/>
          <w:lang w:val="en-US" w:eastAsia="zh-CN"/>
        </w:rPr>
        <w:t>伍万元</w:t>
      </w:r>
      <w:r>
        <w:rPr>
          <w:rFonts w:hint="eastAsia"/>
          <w:sz w:val="24"/>
          <w:szCs w:val="24"/>
          <w:highlight w:val="none"/>
          <w:lang w:eastAsia="zh-CN"/>
        </w:rPr>
        <w:t>。</w:t>
      </w:r>
    </w:p>
    <w:p w14:paraId="1DBD9751">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r>
        <w:rPr>
          <w:rFonts w:hint="eastAsia"/>
          <w:sz w:val="24"/>
          <w:szCs w:val="24"/>
          <w:highlight w:val="none"/>
        </w:rPr>
        <w:t>缴纳截止期限</w:t>
      </w:r>
      <w:r>
        <w:rPr>
          <w:rFonts w:hint="eastAsia"/>
          <w:sz w:val="24"/>
          <w:szCs w:val="24"/>
          <w:highlight w:val="none"/>
          <w:lang w:eastAsia="zh-CN"/>
        </w:rPr>
        <w:t>：经审核确认其意向受让方资格的报名者须在挂牌截止日次日上午11时前交至指定账户（以到达账户时间为准，遇法定节假日顺延），逾期将取消受让资格。</w:t>
      </w:r>
    </w:p>
    <w:p w14:paraId="59488B5C">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经营权转让保证金处置：</w:t>
      </w:r>
    </w:p>
    <w:p w14:paraId="1F344A4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rPr>
        <w:t>意向受让方如被确定为受让方，在签约并缴纳履约保证金（</w:t>
      </w:r>
      <w:r>
        <w:rPr>
          <w:rFonts w:hint="eastAsia"/>
          <w:sz w:val="24"/>
          <w:szCs w:val="24"/>
          <w:highlight w:val="none"/>
          <w:lang w:val="en-US" w:eastAsia="zh-CN"/>
        </w:rPr>
        <w:t>转让</w:t>
      </w:r>
      <w:r>
        <w:rPr>
          <w:rFonts w:hint="eastAsia"/>
          <w:sz w:val="24"/>
          <w:szCs w:val="24"/>
          <w:highlight w:val="none"/>
        </w:rPr>
        <w:t>押金）后，其缴纳的信誉保证金本金方可退还；</w:t>
      </w:r>
    </w:p>
    <w:p w14:paraId="4FC8A6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）意向受让方如未被确定为受让方，自受让方确定之日次日起五个工作日内（节假日除外），退还其缴纳的信誉保证金本金</w:t>
      </w:r>
      <w:r>
        <w:rPr>
          <w:rFonts w:hint="eastAsia"/>
          <w:sz w:val="24"/>
          <w:szCs w:val="24"/>
          <w:highlight w:val="none"/>
        </w:rPr>
        <w:t>；</w:t>
      </w:r>
    </w:p>
    <w:p w14:paraId="755CDE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）退还信誉保证金时，为法人或其他组织的，需提供单位证明、经办人身份证、财务收据前往国有资产资源交易中心办理退款手续；</w:t>
      </w:r>
    </w:p>
    <w:p w14:paraId="18D5A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意向受让方或受让方有如下行为的，其缴纳的信誉保证金不予退还，由此造成出让方损失的，该意向受让方或受让方须承担赔偿责任；信誉保证金不足以赔偿出让方损失的，不足的部分，该意向受让方或受让方须另行赔偿：</w:t>
      </w:r>
    </w:p>
    <w:p w14:paraId="462E3E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①协议转让的，被确认为转让方之日起5个工作日内未签署《资产交易合同》的；</w:t>
      </w:r>
    </w:p>
    <w:p w14:paraId="4862B1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②在被确认为受让方后，拒绝与出让方签署《资产交易合同》或未在规定时间内签署《资产交易合同》的</w:t>
      </w:r>
      <w:r>
        <w:rPr>
          <w:rFonts w:hint="eastAsia"/>
          <w:sz w:val="24"/>
          <w:szCs w:val="24"/>
          <w:highlight w:val="none"/>
        </w:rPr>
        <w:t>；</w:t>
      </w:r>
    </w:p>
    <w:p w14:paraId="028C7A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③未在规定时间内向出让方付清履约保证金（转让押金）和转让金的</w:t>
      </w:r>
      <w:r>
        <w:rPr>
          <w:rFonts w:hint="eastAsia"/>
          <w:sz w:val="24"/>
          <w:szCs w:val="24"/>
          <w:highlight w:val="none"/>
        </w:rPr>
        <w:t>；</w:t>
      </w:r>
    </w:p>
    <w:p w14:paraId="39D880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④</w:t>
      </w:r>
      <w:r>
        <w:rPr>
          <w:rFonts w:hint="eastAsia"/>
          <w:sz w:val="24"/>
          <w:szCs w:val="24"/>
          <w:highlight w:val="none"/>
        </w:rPr>
        <w:t>未按《资产交易合同》履约的；</w:t>
      </w:r>
    </w:p>
    <w:p w14:paraId="04CF3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⑤</w:t>
      </w:r>
      <w:r>
        <w:rPr>
          <w:rFonts w:hint="eastAsia"/>
          <w:sz w:val="24"/>
          <w:szCs w:val="24"/>
          <w:highlight w:val="none"/>
        </w:rPr>
        <w:t>提供虚假资料的；</w:t>
      </w:r>
    </w:p>
    <w:p w14:paraId="4D8150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⑥</w:t>
      </w:r>
      <w:r>
        <w:rPr>
          <w:rFonts w:hint="eastAsia"/>
          <w:sz w:val="24"/>
          <w:szCs w:val="24"/>
          <w:highlight w:val="none"/>
        </w:rPr>
        <w:t>扰乱交易场所秩序；</w:t>
      </w:r>
    </w:p>
    <w:p w14:paraId="603DFA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⑦</w:t>
      </w:r>
      <w:r>
        <w:rPr>
          <w:rFonts w:hint="eastAsia"/>
          <w:sz w:val="24"/>
          <w:szCs w:val="24"/>
          <w:highlight w:val="none"/>
        </w:rPr>
        <w:t>相互串通，损害国家、集体或他人的合法权益的；</w:t>
      </w:r>
    </w:p>
    <w:p w14:paraId="7245F1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highlight w:val="none"/>
        </w:rPr>
      </w:pPr>
      <w:r>
        <w:rPr>
          <w:rFonts w:hint="eastAsia"/>
          <w:sz w:val="24"/>
          <w:szCs w:val="24"/>
          <w:highlight w:val="none"/>
          <w:lang w:val="en-US" w:eastAsia="zh-CN"/>
        </w:rPr>
        <w:t>⑧</w:t>
      </w:r>
      <w:r>
        <w:rPr>
          <w:rFonts w:hint="eastAsia"/>
          <w:sz w:val="24"/>
          <w:szCs w:val="24"/>
          <w:highlight w:val="none"/>
        </w:rPr>
        <w:t>法律、法规规定的其他情形；</w:t>
      </w:r>
    </w:p>
    <w:p w14:paraId="634DE8B6">
      <w:pPr>
        <w:pStyle w:val="5"/>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对受让方经营服务要求</w:t>
      </w:r>
    </w:p>
    <w:p w14:paraId="07CAAC5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受让方必须按照转让方作息时间供应饭菜，保证转让方职工及相关就餐刷卡结算人员，能吃上热菜热饭；保证在各类假期、休息日正常供餐，24小时有人值班，提供加工饭菜服务，提供一般食品加工服务，合理收费。每天科学安排饮食，合理搭配。对需要提供配送服务的职工由受让方安排员工送餐到科室，并保证配送饭菜的温度，不得额外收取费用。就餐时间段转让方可根据实际情况及需求进行调整，受让方无条件配合。</w:t>
      </w:r>
    </w:p>
    <w:p w14:paraId="28FA84C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转让方职工及相关人员可使用转让方发放的饭卡自行选择在一层或二层食堂就餐，职工食堂受让方严禁与就餐人员直接使用现金、电子转账等其他方式交易，只可接待持有转让方统一发放饭卡的就餐人员消费就餐。</w:t>
      </w:r>
    </w:p>
    <w:p w14:paraId="169C23F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受让方转让经营期间，每天保证供应：早餐，至少提供10种食品供就餐人员自由选择，自行搭配，包括点心、粗粮、面食、蛋、时蔬、粥、豆浆等；中餐、晚餐，均至少提供15种供就餐人员自由选择，自行搭配，包括主菜、配菜、时蔬、汤类、主食、面食、粗粮等，一周内菜品不得重复出现2次及以上。确保营养搭配合理化，力求做到美味可口，并按季节、天气、地域差异、人群，搭配及变换菜品花式。每份米饭量不少于200G，堂食可免费续添。每餐免费提供至少2种以上调味料（如盐、醋、辣椒酱等），早餐至少提供2种免费小菜，每餐提供免费汤品。</w:t>
      </w:r>
    </w:p>
    <w:p w14:paraId="77AD309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bCs/>
          <w:color w:val="auto"/>
          <w:sz w:val="24"/>
          <w:szCs w:val="24"/>
          <w:highlight w:val="none"/>
          <w:lang w:val="en-US" w:eastAsia="zh-CN"/>
        </w:rPr>
      </w:pPr>
      <w:r>
        <w:rPr>
          <w:rFonts w:hint="eastAsia"/>
          <w:b w:val="0"/>
          <w:bCs w:val="0"/>
          <w:color w:val="auto"/>
          <w:sz w:val="24"/>
          <w:szCs w:val="24"/>
          <w:highlight w:val="none"/>
          <w:lang w:val="en-US" w:eastAsia="zh-CN"/>
        </w:rPr>
        <w:t>4.受让方膳食服务需服从转让方营养科管理。受让方应配备至少一名营养师作为食堂管理员，负责营养科下发的食谱的执行、尝检和卫生督查，并定期去科室做就餐人员满意度调查，并根据调查结果及时向营养科汇报，及时改进。</w:t>
      </w:r>
      <w:r>
        <w:rPr>
          <w:rFonts w:hint="eastAsia"/>
          <w:b/>
          <w:bCs/>
          <w:color w:val="auto"/>
          <w:sz w:val="24"/>
          <w:szCs w:val="24"/>
          <w:highlight w:val="none"/>
          <w:lang w:val="en-US" w:eastAsia="zh-CN"/>
        </w:rPr>
        <w:t xml:space="preserve">  </w:t>
      </w:r>
    </w:p>
    <w:p w14:paraId="7D7EA02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5.受让方转让经营期间，可能存在临时应急加班（如会务用餐、公务接待等）情况，受让方在接到转让方临时加班要求时，必须全力配合，迅速调度人员，完成转让方指定的加班等应急任务。</w:t>
      </w:r>
    </w:p>
    <w:p w14:paraId="6AB313C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就餐费用结算：转让方职工及相关就餐刷卡结算人员（含学生、进修生、第三方服务人员等），以实际产生的刷卡餐费据实与转让方结算，转让方于每月15日（节假日顺延）前从餐费系统中调取上月费用情况与受让方核对，核对无误后受让方提供等额发票，否则转让方视为不具备付款条件。转让方在收到发票后30个工作日内向受让方支付费用（接待费用另行按规定费用提供发票结算），上述相关税费由受让方承担。</w:t>
      </w:r>
    </w:p>
    <w:p w14:paraId="5217193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（四）食品价格及质量要求</w:t>
      </w:r>
    </w:p>
    <w:p w14:paraId="242EF2C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受让方转让经营期间，提供的菜品质量、份量、售价、每餐品种及样数必须经过转让方审核，同意后方可销卖，并对菜品价格实行动态管理，如市场原材料价格大幅上涨，受让方须报转让方讨论通过后方可上调；如市场价格大幅下降，食品价格须同步下调。如发现擅自涨价或食品价格明显高于市场价格（或区内同级别医疗机构），受让方一次上缴给转让方违约金3000元。</w:t>
      </w:r>
    </w:p>
    <w:p w14:paraId="6E3EFAE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受让方经营期间，所售菜品需品种多样，明码标价。其中大荤即除调味料外不再添加其他素菜类原材料混做的全荤类菜肴或由荤菜搭配组成的菜肴（如红烧肉、红烧排骨、红烧鸡、肉圆、鱼等）；小荤即全荤原材料占比在40%以上，要求荤素比不低于4:6（如萝卜烧肉、百叶结烧肉、土豆烧鸡等）；炒菜即为肉丝或肉片类与素菜搭配组成的菜肴（如青椒肉丝、鱼香肉丝、土豆肉片、蒸蛋类等）；素菜即全为素菜类原材料菜肴（包括豆制品类）。所有窗口不得售卖隔夜剩菜，或添加了隔夜剩菜的菜品（半成品除外）。</w:t>
      </w:r>
    </w:p>
    <w:p w14:paraId="14E98A1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 受让方应保证不断增加花色品种，利润合理适度。各种主、副原料采购必须从市场监督管理部门认可的经销企业进货，保留进货单、发票及相关证件备查，并建立主、副食品台账。保证鸡、鸭、鱼、肉等原材料需符合卫生法规标准，具备生产日期、检疫检验合格证等相关证明。采购调味品需包装完整，无破损，外观形态、颜色正常，国家知名品牌产品（非散装原料），标明品名、厂名、商标、生产日期、批号（或代号）、规格、配方（或主要成分）、保存期限（质保期）、净含量等，或附有说明书等。采购食用油需采购知名品牌纯正食用油，不能为棕榈油、调和油及其他食用油。严禁采购三无、变质过期、有害物质污染等其他不符合食品卫生标准和要求的食材及调味品。如发现受让方违约，转让方有权责令受让方做出检查或整改，如反复出现整改不到位的情况，造成的一切损失由受让方承担，转让方有权终止转让合同。</w:t>
      </w:r>
    </w:p>
    <w:p w14:paraId="25F6A72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（五）卫生要求</w:t>
      </w:r>
    </w:p>
    <w:p w14:paraId="27971D1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方必须做好环境卫生工作，按市容、卫生监督、疾病控制等上级管理部门要求搞好食堂内外防蝇、灭鼠、垃圾分类等工作，严防食物中毒，并做好台账记录。</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须严格按照食品安全管理制度进行现场管理，保证食品安全，确保餐具微生物检测合格，无大肠杆菌、沙门氏菌等致病菌，如微生物检测不合格上缴违约金500元/次。如发生安全卫生事故或相关部门检查不合格，</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方承担引起的一切经济损失和法律责任，如发生食物中毒等重大安全事故的，</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方承担引起的一切刑事责任、行政责任、民事赔偿责任等。食堂卫生及食堂周围包干区</w:t>
      </w:r>
      <w:r>
        <w:rPr>
          <w:rFonts w:hint="eastAsia"/>
          <w:b w:val="0"/>
          <w:bCs w:val="0"/>
          <w:color w:val="auto"/>
          <w:sz w:val="24"/>
          <w:szCs w:val="24"/>
          <w:highlight w:val="none"/>
          <w:lang w:val="en-US" w:eastAsia="zh-CN"/>
        </w:rPr>
        <w:t>（包括后勤1楼至2楼楼梯等区域）</w:t>
      </w:r>
      <w:r>
        <w:rPr>
          <w:rFonts w:hint="default"/>
          <w:b w:val="0"/>
          <w:bCs w:val="0"/>
          <w:color w:val="auto"/>
          <w:sz w:val="24"/>
          <w:szCs w:val="24"/>
          <w:highlight w:val="none"/>
          <w:lang w:val="en-US" w:eastAsia="zh-CN"/>
        </w:rPr>
        <w:t>由</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方负责。如造成</w:t>
      </w:r>
      <w:r>
        <w:rPr>
          <w:rFonts w:hint="eastAsia"/>
          <w:b w:val="0"/>
          <w:bCs w:val="0"/>
          <w:color w:val="auto"/>
          <w:sz w:val="24"/>
          <w:szCs w:val="24"/>
          <w:highlight w:val="none"/>
          <w:lang w:val="en-US" w:eastAsia="zh-CN"/>
        </w:rPr>
        <w:t>转让</w:t>
      </w:r>
      <w:r>
        <w:rPr>
          <w:rFonts w:hint="default"/>
          <w:b w:val="0"/>
          <w:bCs w:val="0"/>
          <w:color w:val="auto"/>
          <w:sz w:val="24"/>
          <w:szCs w:val="24"/>
          <w:highlight w:val="none"/>
          <w:lang w:val="en-US" w:eastAsia="zh-CN"/>
        </w:rPr>
        <w:t>方赔偿或垫付，</w:t>
      </w:r>
      <w:r>
        <w:rPr>
          <w:rFonts w:hint="eastAsia"/>
          <w:b w:val="0"/>
          <w:bCs w:val="0"/>
          <w:color w:val="auto"/>
          <w:sz w:val="24"/>
          <w:szCs w:val="24"/>
          <w:highlight w:val="none"/>
          <w:lang w:val="en-US" w:eastAsia="zh-CN"/>
        </w:rPr>
        <w:t>转让</w:t>
      </w:r>
      <w:r>
        <w:rPr>
          <w:rFonts w:hint="default"/>
          <w:b w:val="0"/>
          <w:bCs w:val="0"/>
          <w:color w:val="auto"/>
          <w:sz w:val="24"/>
          <w:szCs w:val="24"/>
          <w:highlight w:val="none"/>
          <w:lang w:val="en-US" w:eastAsia="zh-CN"/>
        </w:rPr>
        <w:t>方可全额向</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方追偿。</w:t>
      </w:r>
    </w:p>
    <w:p w14:paraId="469D573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2.开餐前必须对餐具进行消毒， 所有餐具、灶具必须经过“一洗、二刷、三冲、四消毒、五保洁”流程。每次就餐完毕，食堂工作人员应立即整理、清洁餐具、灶具、水池，擦拭餐桌、餐椅、灶台和工作台，打扫地面残渣，绝对不准过夜，做到一餐一洗。 冰箱、冰柜、货物柜等上面不得摆放无关杂物，</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要采取除蚊、蝇措施，冰箱、冰柜内的物品隔离分区存放，防止串味，物品柜应经常保持清洁，不得放置与工作无关的私人物品。定期对所有空调出风及回风口进行清洗、除尘，保持空气流通畅通，避免细菌滋生。每周应对厨房、餐厅的地面、桌椅、灶台、工作台、水池、橱柜、餐具、饮具等，做一次彻底检查。每月</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 xml:space="preserve">方应对食堂卫生工作做一次全面检查，纠正不足，保持清洁、卫生的就餐环境。食物残渣、分类垃圾等应每天清除，保持环境卫生，防止蚊、蝇、臭虫等繁衍。 </w:t>
      </w:r>
    </w:p>
    <w:p w14:paraId="4326ADF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3.</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方需配备“明厨亮灶”系统，向就餐人员展示餐饮制作过程，以监督后厨员工操作是否规范，卫生是否合格，相关视频按要求接入到溧水区智慧食安监管平台</w:t>
      </w:r>
      <w:r>
        <w:rPr>
          <w:rFonts w:hint="eastAsia"/>
          <w:b w:val="0"/>
          <w:bCs w:val="0"/>
          <w:color w:val="auto"/>
          <w:sz w:val="24"/>
          <w:szCs w:val="24"/>
          <w:highlight w:val="none"/>
          <w:lang w:val="en-US" w:eastAsia="zh-CN"/>
        </w:rPr>
        <w:t>，相关费用由受让</w:t>
      </w:r>
      <w:r>
        <w:rPr>
          <w:rFonts w:hint="default"/>
          <w:b w:val="0"/>
          <w:bCs w:val="0"/>
          <w:color w:val="auto"/>
          <w:sz w:val="24"/>
          <w:szCs w:val="24"/>
          <w:highlight w:val="none"/>
          <w:lang w:val="en-US" w:eastAsia="zh-CN"/>
        </w:rPr>
        <w:t>方</w:t>
      </w:r>
      <w:r>
        <w:rPr>
          <w:rFonts w:hint="eastAsia"/>
          <w:b w:val="0"/>
          <w:bCs w:val="0"/>
          <w:color w:val="auto"/>
          <w:sz w:val="24"/>
          <w:szCs w:val="24"/>
          <w:highlight w:val="none"/>
          <w:lang w:val="en-US" w:eastAsia="zh-CN"/>
        </w:rPr>
        <w:t>承担</w:t>
      </w:r>
      <w:r>
        <w:rPr>
          <w:rFonts w:hint="default"/>
          <w:b w:val="0"/>
          <w:bCs w:val="0"/>
          <w:color w:val="auto"/>
          <w:sz w:val="24"/>
          <w:szCs w:val="24"/>
          <w:highlight w:val="none"/>
          <w:lang w:val="en-US" w:eastAsia="zh-CN"/>
        </w:rPr>
        <w:t>。</w:t>
      </w:r>
      <w:r>
        <w:rPr>
          <w:rFonts w:hint="eastAsia"/>
          <w:b w:val="0"/>
          <w:bCs w:val="0"/>
          <w:color w:val="auto"/>
          <w:sz w:val="24"/>
          <w:szCs w:val="24"/>
          <w:highlight w:val="none"/>
          <w:lang w:val="en-US" w:eastAsia="zh-CN"/>
        </w:rPr>
        <w:t>转让</w:t>
      </w:r>
      <w:r>
        <w:rPr>
          <w:rFonts w:hint="default"/>
          <w:b w:val="0"/>
          <w:bCs w:val="0"/>
          <w:color w:val="auto"/>
          <w:sz w:val="24"/>
          <w:szCs w:val="24"/>
          <w:highlight w:val="none"/>
          <w:lang w:val="en-US" w:eastAsia="zh-CN"/>
        </w:rPr>
        <w:t>方如已安装设备的，</w:t>
      </w:r>
      <w:r>
        <w:rPr>
          <w:rFonts w:hint="eastAsia"/>
          <w:b w:val="0"/>
          <w:bCs w:val="0"/>
          <w:color w:val="auto"/>
          <w:sz w:val="24"/>
          <w:szCs w:val="24"/>
          <w:highlight w:val="none"/>
          <w:lang w:val="en-US" w:eastAsia="zh-CN"/>
        </w:rPr>
        <w:t>受让</w:t>
      </w:r>
      <w:r>
        <w:rPr>
          <w:rFonts w:hint="default"/>
          <w:b w:val="0"/>
          <w:bCs w:val="0"/>
          <w:color w:val="auto"/>
          <w:sz w:val="24"/>
          <w:szCs w:val="24"/>
          <w:highlight w:val="none"/>
          <w:lang w:val="en-US" w:eastAsia="zh-CN"/>
        </w:rPr>
        <w:t>方可不另行安装，监控专线维护及对接平台等费用</w:t>
      </w:r>
      <w:r>
        <w:rPr>
          <w:rFonts w:hint="eastAsia"/>
          <w:b w:val="0"/>
          <w:bCs w:val="0"/>
          <w:color w:val="auto"/>
          <w:sz w:val="24"/>
          <w:szCs w:val="24"/>
          <w:highlight w:val="none"/>
          <w:lang w:val="en-US" w:eastAsia="zh-CN"/>
        </w:rPr>
        <w:t>由受让</w:t>
      </w:r>
      <w:r>
        <w:rPr>
          <w:rFonts w:hint="default"/>
          <w:b w:val="0"/>
          <w:bCs w:val="0"/>
          <w:color w:val="auto"/>
          <w:sz w:val="24"/>
          <w:szCs w:val="24"/>
          <w:highlight w:val="none"/>
          <w:lang w:val="en-US" w:eastAsia="zh-CN"/>
        </w:rPr>
        <w:t>方</w:t>
      </w:r>
      <w:r>
        <w:rPr>
          <w:rFonts w:hint="eastAsia"/>
          <w:b w:val="0"/>
          <w:bCs w:val="0"/>
          <w:color w:val="auto"/>
          <w:sz w:val="24"/>
          <w:szCs w:val="24"/>
          <w:highlight w:val="none"/>
          <w:lang w:val="en-US" w:eastAsia="zh-CN"/>
        </w:rPr>
        <w:t>承担</w:t>
      </w:r>
      <w:r>
        <w:rPr>
          <w:rFonts w:hint="default"/>
          <w:b w:val="0"/>
          <w:bCs w:val="0"/>
          <w:color w:val="auto"/>
          <w:sz w:val="24"/>
          <w:szCs w:val="24"/>
          <w:highlight w:val="none"/>
          <w:lang w:val="en-US" w:eastAsia="zh-CN"/>
        </w:rPr>
        <w:t>。</w:t>
      </w:r>
    </w:p>
    <w:p w14:paraId="7E26BBA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（六）安全要求</w:t>
      </w:r>
    </w:p>
    <w:p w14:paraId="048865D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受让方自行负责经营期间一切消防、安全生产、食品安全等安全责任。必须对员工加强防火、防盗、食品卫生知识教育培训和劳动防护安全教育，落实安全防范措施。每日下班前受让方须谨记要检查切断电源、水源及气源，落实轮岗检查、登记制度，项目负责人和受让方管理人员要督促、检查。如发生火灾、工伤等事故，应由受让方全部承担，如造成财产及人员伤亡的，受让方应负责全部赔偿责任，如造成转让方赔偿或垫付，转让方可全额向受让方追偿。</w:t>
      </w:r>
    </w:p>
    <w:p w14:paraId="3CFC1A4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受让方须按消防及环保等相关规范要求，邀请有资质的专业公司至少每季度对油烟管道、油烟静化装置等进行检查、清洗、保养，并做好相关记录。未按相关规范对厨房油烟管道及油烟静化装置开展检查、维护、清洗的，由此产生的一切经济损失及法律后果由受让方自行承担。</w:t>
      </w:r>
    </w:p>
    <w:p w14:paraId="5C1D22B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（七）受让方需承担的费用</w:t>
      </w:r>
    </w:p>
    <w:p w14:paraId="5007146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1.转让期间产生的一切水、电、天然气、空调、垃圾处置等费用，根据受让方实际使用情况进行计算，受让方每月15日前向转让方缴纳上月产生费用。</w:t>
      </w:r>
    </w:p>
    <w:p w14:paraId="5237E11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所有设施设备产生的维修费（包含但不限于：现有设备故障维修，消费刷卡系统，水电气暖、空调、门窗、照明灯具等固定基础类设施维修及更换等）、季度油烟管道及油烟净化装置清洗费、隔油池清洗与维护（做好清理及维护台账）、必要设施添置等费用由受让方自行承担，如受让方未按要求进行清洗维护，则由转让方安排相关服务人员清洗维护，产生的费用从该月餐费结算中扣除。</w:t>
      </w:r>
    </w:p>
    <w:p w14:paraId="678CE6C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3.转让期间，二楼职工食堂受让方与一楼病员食堂受让方，应对地下室油烟管道轮番进行维护，不得互相推诿。</w:t>
      </w:r>
    </w:p>
    <w:p w14:paraId="4B84434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（八）满意度调查</w:t>
      </w:r>
    </w:p>
    <w:p w14:paraId="25A3822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受让方必须以满意为工作目标，定期开展满意度调查，认真听取意见，接受就餐人员及转让方的整改意见及要求，不断改进，提高饭菜质量和服务质量。</w:t>
      </w:r>
    </w:p>
    <w:p w14:paraId="66200D9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（九）其他要求</w:t>
      </w:r>
    </w:p>
    <w:p w14:paraId="77D4F94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1.转让期间，受让方不得擅自将场地进行转租、分租、转借或以联营、合作经营的名义变相</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，不得擅自增加经营范围；一旦发现实际经营人、经营项目与报名资料不符等情况，即视为</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方违约，</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方有权解除转让合同、扣除履约保证金并酌情要求赔偿损失。</w:t>
      </w:r>
    </w:p>
    <w:p w14:paraId="2C64A3F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方在经营过程中应做到证照齐全、合法经营；</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方须自行办理从业人员健康证、相关经营证照（包括但不限于营业执照、卫生许可证等），并承担相应费用，营业执照、从业人员健康证等需张贴公示在营业场所，</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方可协助提供必要的资料，相关证照需报</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方备案。</w:t>
      </w:r>
    </w:p>
    <w:p w14:paraId="243C445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方需建立健全食堂管理及餐饮服务等多项制度，按国家的相关要求严格执行食品留样、农药残留检测等各项制度、流程。</w:t>
      </w:r>
    </w:p>
    <w:p w14:paraId="23D29D7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方必须服从</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方管理，遵守国家有关法规和转让方各种规章制度，恪守经营项目，不得做餐饮以外的销售，严禁超范围经营。必须满足就餐人员的用餐需求，</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方的管理机构为食堂监督管理委员会，具体负责部门为总务科和营养科。</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方经营期间，在</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方的监督和管理下实行自主经营、自负盈亏，以服务为宗旨，通过努力增加菜式品种，提高饭菜质量，物美价廉，薄利多销，改善服务态度，吸引就餐人员等优质服务来增加营业额。经营过程中出现一切问题由</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方负责，给</w:t>
      </w:r>
      <w:r>
        <w:rPr>
          <w:rFonts w:hint="eastAsia"/>
          <w:b w:val="0"/>
          <w:bCs w:val="0"/>
          <w:color w:val="auto"/>
          <w:sz w:val="24"/>
          <w:szCs w:val="24"/>
          <w:highlight w:val="none"/>
          <w:lang w:val="en-US" w:eastAsia="zh-CN"/>
        </w:rPr>
        <w:t>转让</w:t>
      </w:r>
      <w:r>
        <w:rPr>
          <w:rFonts w:hint="eastAsia"/>
          <w:color w:val="auto"/>
          <w:sz w:val="24"/>
          <w:szCs w:val="24"/>
          <w:highlight w:val="none"/>
          <w:lang w:val="en-US" w:eastAsia="zh-CN"/>
        </w:rPr>
        <w:t>方造成损失的由</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方负完全赔偿责任。</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方严禁以转让方名义或任何虚假名义经营，严禁以转让方名义在社会上做任何形式的广告或商业活动。</w:t>
      </w:r>
    </w:p>
    <w:p w14:paraId="2BEB5CC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5.转让期间，转让方向</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方提供目前属于职工食堂所有场地和用具的使用权（现状）。转让期满，</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方需与下一</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方将基础设施及现有用品清点交付转让方（三方签字确认）。转让期内，转让方职工食堂所有设施设备维修维护以及点检由</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方负责，其运营维护须符合国家法律、法规及转让方主管单位或部门，对房屋经营权转让管理及相关的安全管理的规定，转让方对房屋用途和维护改造等享有监管权利。</w:t>
      </w:r>
    </w:p>
    <w:p w14:paraId="24133A0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方未经转让方同意，不得私自改变经营场所的房屋结构、管线、电路、不得私接水电，装修改造不得破坏和擅自改动房屋结构或公共建筑部分，否则将负责恢复原状，承担由此造成的一切损失。</w:t>
      </w:r>
    </w:p>
    <w:p w14:paraId="37ABB20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7.食堂场地按现状转让经营权给</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方，如需增加水电、消防等设施以及采购厨房设备、餐具、台、凳等设备，</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方需书面报转让方审批通过后，方可采购安装，所用的设备、设施必须符合国家环保、消防和安全生产要求。转让期内，转让方负责病员食堂的水、电、气的接口。</w:t>
      </w:r>
    </w:p>
    <w:p w14:paraId="12AD1D5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自主招聘与辞退食堂从业人员（包括管理人员、厨师、营养师、订送餐员、清洁人员、服务人员等），应符合《中华人民共和国民法典》《中华人民共和国劳动法》《中华人民共和国劳动合同法》等相关法律法规，规范用工、依法缴纳社保“五险”。</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方经营期内的所有用工，均与转让方没有劳动合同关系和劳务关系，所有的用工风险由</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方自担。所聘用员工相对稳定，持有效健康证和培训上岗证（无证不予上岗），定期对员工进行业务及服务相关的规范培训，定期进行相关体检，确保从业人员身体健康。</w:t>
      </w:r>
    </w:p>
    <w:p w14:paraId="6031049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9.</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食堂工作人员必须统一着装，受让方购置食堂工作人员的工作服、帽等，须符合国家相应标准，费用自理。上班时间，食堂工作人员必须穿工作服、戴工作帽等，工作服需每天清洗，确保干净整洁。严禁食堂工作人员在食堂内吸烟、穿拖鞋等不文明举止。自行车、摩托车、三轮车等各种车辆按转让方指定位置和要求停放。</w:t>
      </w:r>
    </w:p>
    <w:p w14:paraId="768765A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10.</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方项目负责人需长期在本项目点上班，及时解决本项目遇到的一切问题，且不得随意更换，如需更换须报转让方同意方可更换。</w:t>
      </w:r>
    </w:p>
    <w:p w14:paraId="54B7CE1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11.转让期限届满不再续签的，</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方在转让期限届满至少前3日内与下一</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单位、转让方完成交接，清点并核验所有设施设备是否完好，并于转让期满当日前完成搬迁，自行拆除</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方在转让期间增加的可移动设施设备，产生的费用由</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方负责。</w:t>
      </w:r>
    </w:p>
    <w:p w14:paraId="02ECE27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12.转让期满后，经转让方同意的房屋内外的所有装修、装饰不得拆除并归转让方所有，转让方对</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方的装修费用不予补偿。未经转让方同意的装修，转让方有权要求</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方恢复原状或承担恢复原状的费用。</w:t>
      </w:r>
    </w:p>
    <w:p w14:paraId="546FAB9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13.转让期内，受让方若需提前终止合同的，应提前3个月书面通知转让方，并按年转让金的10%支付违约金，待新确定的受让方进场后方可终止。若受让方在转让期内擅自终止合同的，转让方不予退还受让方转让金余额及保证金。</w:t>
      </w:r>
    </w:p>
    <w:p w14:paraId="594238B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14.受让方需提供进退场承诺：受让方需提供详细的、可操作性强的进场、退场计划及相关承诺，承诺按照转让方的时间要求完成进场营业及合同终止或解除的退场安排。</w:t>
      </w:r>
    </w:p>
    <w:p w14:paraId="597293E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（十）考核要求</w:t>
      </w:r>
    </w:p>
    <w:p w14:paraId="0CC7423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方从签订合同之日起第一年的前三个月为初始考核期。初始考核期内，按照《溧水区中医院食堂管理考核表》考核不合格（合格分为90及以上），</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方自行整改一个月并自愿承担违约金1500元；第二月仍不合格，转让方有权要求并监督</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方限时整改，另</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方自愿承担违约金2000元；第三个月仍不合格，转让方有权要求</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方法定代表人在食堂亲自管理直至合格，合格之前，</w:t>
      </w:r>
      <w:r>
        <w:rPr>
          <w:rFonts w:hint="eastAsia"/>
          <w:b w:val="0"/>
          <w:bCs w:val="0"/>
          <w:color w:val="auto"/>
          <w:sz w:val="24"/>
          <w:szCs w:val="24"/>
          <w:highlight w:val="none"/>
          <w:lang w:val="en-US" w:eastAsia="zh-CN"/>
        </w:rPr>
        <w:t>受让</w:t>
      </w:r>
      <w:r>
        <w:rPr>
          <w:rFonts w:hint="eastAsia"/>
          <w:color w:val="auto"/>
          <w:sz w:val="24"/>
          <w:szCs w:val="24"/>
          <w:highlight w:val="none"/>
          <w:lang w:val="en-US" w:eastAsia="zh-CN"/>
        </w:rPr>
        <w:t>方自愿每月承担违约金4000元。初始考核期内考核不合格，转让方有权选择终止合同。</w:t>
      </w:r>
    </w:p>
    <w:p w14:paraId="26FD1F5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转让期内，受让方不得随意中途停止营业或不正常营业，如果受让方服务质量达不到转让方要求，就餐人员有效投诉当年累计五次以上，经转让方劝告仍无明显改进的，转让方有权单方终止合同。在转让方食堂监督管理委员会组织的食堂管理考核中，考核平均分达不到90分，每下降一个百分点，受让方自愿承担300元违约金。 </w:t>
      </w:r>
    </w:p>
    <w:p w14:paraId="7F64338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3.受让方如因菜品及服务被就餐人员直接电话投诉至转让方，或12345等平台被投诉的，经转让方核实确为受让方责任的，受让方自愿承担违约金500元/次，并自行处理投诉反馈，直至投诉人满意。</w:t>
      </w:r>
    </w:p>
    <w:p w14:paraId="7821652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4.受让方经营场地不得出现收款码，不得与就餐人员直接使用现金、电子转账等其他方式交易，不得为病人及其陪护家属提供就餐服务，如违反约定，发现一次，受让方自愿承担违约金200元/次。</w:t>
      </w:r>
    </w:p>
    <w:p w14:paraId="2F1F6F7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5.受让方工作人员所有车辆按要求停放在指定区域，如在转让场地内发现有车辆违规停放、私拉乱接充电的行为，受让方自愿承担违约金500元/次，由此产生的一切经济损失及法律后果由受让方自行承担。</w:t>
      </w:r>
    </w:p>
    <w:p w14:paraId="75EB959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（十一）如遇政府征收或拆迁、不可抗力时的处理约定</w:t>
      </w:r>
    </w:p>
    <w:p w14:paraId="77A4CED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转让期内如发生政府征收、征用行为，签订的合同终止，受让方须在转让方规定的时间内搬出，双方应相互结清转让期间的相关费用，受让方完全撤离之后，转让方退还受让方预付的转让金余额和保证金。标的的征收补偿按政府规定执行，针对转让方原有房屋（指原产权房屋和自建房屋）和土地的补偿等归转让方所有。</w:t>
      </w:r>
    </w:p>
    <w:p w14:paraId="13B6583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2.转让期内如因城市建设（如雨污分流、道路拓宽）等工程或战争、地震、疫情等不可抗力影响食堂运营，转让方根据相应政策文件申请给予补偿。</w:t>
      </w:r>
    </w:p>
    <w:p w14:paraId="5AEC8D1A">
      <w:pPr>
        <w:pStyle w:val="5"/>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highlight w:val="none"/>
          <w:lang w:val="en-US" w:eastAsia="zh-CN"/>
        </w:rPr>
      </w:pPr>
      <w:r>
        <w:rPr>
          <w:rFonts w:hint="eastAsia"/>
          <w:b/>
          <w:bCs/>
          <w:sz w:val="24"/>
          <w:szCs w:val="24"/>
          <w:highlight w:val="none"/>
          <w:lang w:val="en-US" w:eastAsia="zh-CN"/>
        </w:rPr>
        <w:t>评审方法</w:t>
      </w:r>
    </w:p>
    <w:p w14:paraId="54B6B919">
      <w:pPr>
        <w:pStyle w:val="5"/>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highlight w:val="none"/>
          <w:lang w:val="en-US" w:eastAsia="zh-CN"/>
        </w:rPr>
      </w:pPr>
      <w:r>
        <w:rPr>
          <w:rFonts w:hint="eastAsia"/>
          <w:sz w:val="24"/>
          <w:szCs w:val="24"/>
          <w:highlight w:val="none"/>
          <w:lang w:val="en-US" w:eastAsia="zh-CN"/>
        </w:rPr>
        <w:t>信息发布期满后，只征集到一家符合条件的意向方，则采取协议转让方式，以不低于挂牌价格标准签约。征集到两个及两个以上符合条件的意向</w:t>
      </w:r>
      <w:r>
        <w:rPr>
          <w:rFonts w:hint="eastAsia"/>
          <w:b w:val="0"/>
          <w:bCs w:val="0"/>
          <w:color w:val="auto"/>
          <w:sz w:val="24"/>
          <w:szCs w:val="24"/>
          <w:highlight w:val="none"/>
          <w:lang w:val="en-US" w:eastAsia="zh-CN"/>
        </w:rPr>
        <w:t>受让</w:t>
      </w:r>
      <w:r>
        <w:rPr>
          <w:rFonts w:hint="eastAsia"/>
          <w:sz w:val="24"/>
          <w:szCs w:val="24"/>
          <w:highlight w:val="none"/>
          <w:lang w:val="en-US" w:eastAsia="zh-CN"/>
        </w:rPr>
        <w:t>方时，采取综合评审确定</w:t>
      </w:r>
      <w:r>
        <w:rPr>
          <w:rFonts w:hint="eastAsia"/>
          <w:b w:val="0"/>
          <w:bCs w:val="0"/>
          <w:color w:val="auto"/>
          <w:sz w:val="24"/>
          <w:szCs w:val="24"/>
          <w:highlight w:val="none"/>
          <w:lang w:val="en-US" w:eastAsia="zh-CN"/>
        </w:rPr>
        <w:t>受让</w:t>
      </w:r>
      <w:r>
        <w:rPr>
          <w:rFonts w:hint="eastAsia"/>
          <w:sz w:val="24"/>
          <w:szCs w:val="24"/>
          <w:highlight w:val="none"/>
          <w:lang w:val="en-US" w:eastAsia="zh-CN"/>
        </w:rPr>
        <w:t>方，得分最高者确认为</w:t>
      </w:r>
      <w:r>
        <w:rPr>
          <w:rFonts w:hint="eastAsia"/>
          <w:b w:val="0"/>
          <w:bCs w:val="0"/>
          <w:color w:val="auto"/>
          <w:sz w:val="24"/>
          <w:szCs w:val="24"/>
          <w:highlight w:val="none"/>
          <w:lang w:val="en-US" w:eastAsia="zh-CN"/>
        </w:rPr>
        <w:t>受让</w:t>
      </w:r>
      <w:r>
        <w:rPr>
          <w:rFonts w:hint="eastAsia"/>
          <w:sz w:val="24"/>
          <w:szCs w:val="24"/>
          <w:highlight w:val="none"/>
          <w:lang w:val="en-US" w:eastAsia="zh-CN"/>
        </w:rPr>
        <w:t>方。</w:t>
      </w:r>
    </w:p>
    <w:p w14:paraId="62E6C6C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（二） </w:t>
      </w:r>
      <w:r>
        <w:rPr>
          <w:rFonts w:hint="default"/>
          <w:color w:val="auto"/>
          <w:sz w:val="24"/>
          <w:szCs w:val="24"/>
          <w:highlight w:val="none"/>
          <w:lang w:val="en-US" w:eastAsia="zh-CN"/>
        </w:rPr>
        <w:t>评审工作组人员</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由南京市溧水区中医院聘请相关专家</w:t>
      </w:r>
      <w:r>
        <w:rPr>
          <w:rFonts w:hint="eastAsia"/>
          <w:color w:val="auto"/>
          <w:sz w:val="24"/>
          <w:szCs w:val="24"/>
          <w:highlight w:val="none"/>
          <w:lang w:val="en-US" w:eastAsia="zh-CN"/>
        </w:rPr>
        <w:t>，组成</w:t>
      </w:r>
      <w:r>
        <w:rPr>
          <w:rFonts w:hint="default"/>
          <w:color w:val="auto"/>
          <w:sz w:val="24"/>
          <w:szCs w:val="24"/>
          <w:highlight w:val="none"/>
          <w:lang w:val="en-US" w:eastAsia="zh-CN"/>
        </w:rPr>
        <w:t>评标小组进行评审。</w:t>
      </w:r>
    </w:p>
    <w:p w14:paraId="4250AC9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（三）</w:t>
      </w:r>
      <w:r>
        <w:rPr>
          <w:rFonts w:hint="default"/>
          <w:color w:val="auto"/>
          <w:sz w:val="24"/>
          <w:szCs w:val="24"/>
          <w:highlight w:val="none"/>
          <w:lang w:val="en-US" w:eastAsia="zh-CN"/>
        </w:rPr>
        <w:t>评审</w:t>
      </w:r>
      <w:r>
        <w:rPr>
          <w:rFonts w:hint="eastAsia"/>
          <w:color w:val="auto"/>
          <w:sz w:val="24"/>
          <w:szCs w:val="24"/>
          <w:highlight w:val="none"/>
          <w:lang w:val="en-US" w:eastAsia="zh-CN"/>
        </w:rPr>
        <w:t>组织</w:t>
      </w:r>
      <w:r>
        <w:rPr>
          <w:rFonts w:hint="default"/>
          <w:color w:val="auto"/>
          <w:sz w:val="24"/>
          <w:szCs w:val="24"/>
          <w:highlight w:val="none"/>
          <w:lang w:val="en-US" w:eastAsia="zh-CN"/>
        </w:rPr>
        <w:t>：按规定时间、地点，由南京市溧水区中医院和南京溧水区国有资产资源交易中心代表主持</w:t>
      </w:r>
      <w:r>
        <w:rPr>
          <w:rFonts w:hint="eastAsia"/>
          <w:color w:val="auto"/>
          <w:sz w:val="24"/>
          <w:szCs w:val="24"/>
          <w:highlight w:val="none"/>
          <w:lang w:val="en-US" w:eastAsia="zh-CN"/>
        </w:rPr>
        <w:t>评审</w:t>
      </w:r>
      <w:r>
        <w:rPr>
          <w:rFonts w:hint="default"/>
          <w:color w:val="auto"/>
          <w:sz w:val="24"/>
          <w:szCs w:val="24"/>
          <w:highlight w:val="none"/>
          <w:lang w:val="en-US" w:eastAsia="zh-CN"/>
        </w:rPr>
        <w:t>。评标小组成员根据评审原则、评审办法，结合</w:t>
      </w:r>
      <w:r>
        <w:rPr>
          <w:rFonts w:hint="eastAsia"/>
          <w:sz w:val="24"/>
          <w:szCs w:val="24"/>
          <w:highlight w:val="none"/>
          <w:lang w:val="en-US" w:eastAsia="zh-CN"/>
        </w:rPr>
        <w:t>意向</w:t>
      </w:r>
      <w:r>
        <w:rPr>
          <w:rFonts w:hint="eastAsia"/>
          <w:b w:val="0"/>
          <w:bCs w:val="0"/>
          <w:color w:val="auto"/>
          <w:sz w:val="24"/>
          <w:szCs w:val="24"/>
          <w:highlight w:val="none"/>
          <w:lang w:val="en-US" w:eastAsia="zh-CN"/>
        </w:rPr>
        <w:t>受让</w:t>
      </w:r>
      <w:r>
        <w:rPr>
          <w:rFonts w:hint="eastAsia"/>
          <w:sz w:val="24"/>
          <w:szCs w:val="24"/>
          <w:highlight w:val="none"/>
          <w:lang w:val="en-US" w:eastAsia="zh-CN"/>
        </w:rPr>
        <w:t>方</w:t>
      </w:r>
      <w:r>
        <w:rPr>
          <w:rFonts w:hint="default"/>
          <w:color w:val="auto"/>
          <w:sz w:val="24"/>
          <w:szCs w:val="24"/>
          <w:highlight w:val="none"/>
          <w:lang w:val="en-US" w:eastAsia="zh-CN"/>
        </w:rPr>
        <w:t>报价、资信、实力、相关承诺保证等综合因素择优确定</w:t>
      </w:r>
      <w:r>
        <w:rPr>
          <w:rFonts w:hint="eastAsia"/>
          <w:b w:val="0"/>
          <w:bCs w:val="0"/>
          <w:color w:val="auto"/>
          <w:sz w:val="24"/>
          <w:szCs w:val="24"/>
          <w:highlight w:val="none"/>
          <w:lang w:val="en-US" w:eastAsia="zh-CN"/>
        </w:rPr>
        <w:t>受让</w:t>
      </w:r>
      <w:r>
        <w:rPr>
          <w:rFonts w:hint="default"/>
          <w:color w:val="auto"/>
          <w:sz w:val="24"/>
          <w:szCs w:val="24"/>
          <w:highlight w:val="none"/>
          <w:lang w:val="en-US" w:eastAsia="zh-CN"/>
        </w:rPr>
        <w:t>方。评审最优</w:t>
      </w:r>
      <w:r>
        <w:rPr>
          <w:rFonts w:hint="eastAsia"/>
          <w:b w:val="0"/>
          <w:bCs w:val="0"/>
          <w:color w:val="auto"/>
          <w:sz w:val="24"/>
          <w:szCs w:val="24"/>
          <w:highlight w:val="none"/>
          <w:lang w:val="en-US" w:eastAsia="zh-CN"/>
        </w:rPr>
        <w:t>受让</w:t>
      </w:r>
      <w:r>
        <w:rPr>
          <w:rFonts w:hint="default"/>
          <w:color w:val="auto"/>
          <w:sz w:val="24"/>
          <w:szCs w:val="24"/>
          <w:highlight w:val="none"/>
          <w:lang w:val="en-US" w:eastAsia="zh-CN"/>
        </w:rPr>
        <w:t>方时，意向</w:t>
      </w:r>
      <w:r>
        <w:rPr>
          <w:rFonts w:hint="eastAsia"/>
          <w:b w:val="0"/>
          <w:bCs w:val="0"/>
          <w:color w:val="auto"/>
          <w:sz w:val="24"/>
          <w:szCs w:val="24"/>
          <w:highlight w:val="none"/>
          <w:lang w:val="en-US" w:eastAsia="zh-CN"/>
        </w:rPr>
        <w:t>受让</w:t>
      </w:r>
      <w:r>
        <w:rPr>
          <w:rFonts w:hint="default"/>
          <w:color w:val="auto"/>
          <w:sz w:val="24"/>
          <w:szCs w:val="24"/>
          <w:highlight w:val="none"/>
          <w:lang w:val="en-US" w:eastAsia="zh-CN"/>
        </w:rPr>
        <w:t>方的</w:t>
      </w:r>
      <w:r>
        <w:rPr>
          <w:rFonts w:hint="eastAsia"/>
          <w:color w:val="auto"/>
          <w:sz w:val="24"/>
          <w:szCs w:val="24"/>
          <w:highlight w:val="none"/>
          <w:lang w:val="en-US" w:eastAsia="zh-CN"/>
        </w:rPr>
        <w:t>转让</w:t>
      </w:r>
      <w:r>
        <w:rPr>
          <w:rFonts w:hint="default"/>
          <w:color w:val="auto"/>
          <w:sz w:val="24"/>
          <w:szCs w:val="24"/>
          <w:highlight w:val="none"/>
          <w:lang w:val="en-US" w:eastAsia="zh-CN"/>
        </w:rPr>
        <w:t>价格是重要评判因素。</w:t>
      </w:r>
    </w:p>
    <w:p w14:paraId="04AFF1E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b/>
          <w:bCs/>
          <w:sz w:val="24"/>
          <w:szCs w:val="24"/>
          <w:highlight w:val="none"/>
          <w:lang w:val="en-US" w:eastAsia="zh-CN"/>
        </w:rPr>
      </w:pPr>
      <w:r>
        <w:rPr>
          <w:rFonts w:hint="eastAsia"/>
          <w:b/>
          <w:bCs/>
          <w:sz w:val="24"/>
          <w:szCs w:val="24"/>
          <w:highlight w:val="none"/>
          <w:lang w:val="en-US" w:eastAsia="zh-CN"/>
        </w:rPr>
        <w:t>六、综合评审资料的递交</w:t>
      </w:r>
    </w:p>
    <w:p w14:paraId="2D79E57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highlight w:val="none"/>
          <w:lang w:val="en-US" w:eastAsia="zh-CN"/>
        </w:rPr>
      </w:pPr>
      <w:r>
        <w:rPr>
          <w:rFonts w:hint="default"/>
          <w:sz w:val="24"/>
          <w:szCs w:val="24"/>
          <w:highlight w:val="none"/>
          <w:lang w:val="en-US" w:eastAsia="zh-CN"/>
        </w:rPr>
        <w:t>本次项目意向</w:t>
      </w:r>
      <w:r>
        <w:rPr>
          <w:rFonts w:hint="eastAsia"/>
          <w:b w:val="0"/>
          <w:bCs w:val="0"/>
          <w:color w:val="auto"/>
          <w:sz w:val="24"/>
          <w:szCs w:val="24"/>
          <w:highlight w:val="none"/>
          <w:lang w:val="en-US" w:eastAsia="zh-CN"/>
        </w:rPr>
        <w:t>受让</w:t>
      </w:r>
      <w:r>
        <w:rPr>
          <w:rFonts w:hint="default"/>
          <w:sz w:val="24"/>
          <w:szCs w:val="24"/>
          <w:highlight w:val="none"/>
          <w:lang w:val="en-US" w:eastAsia="zh-CN"/>
        </w:rPr>
        <w:t>单位报名时，需同时递交综合评审所材料，具体要求如下</w:t>
      </w:r>
      <w:r>
        <w:rPr>
          <w:rFonts w:hint="eastAsia"/>
          <w:sz w:val="24"/>
          <w:szCs w:val="24"/>
          <w:highlight w:val="none"/>
          <w:lang w:val="en-US" w:eastAsia="zh-CN"/>
        </w:rPr>
        <w:t>：</w:t>
      </w:r>
    </w:p>
    <w:p w14:paraId="3CB5157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highlight w:val="none"/>
          <w:lang w:val="en-US" w:eastAsia="zh-CN"/>
        </w:rPr>
      </w:pPr>
      <w:r>
        <w:rPr>
          <w:rFonts w:hint="default"/>
          <w:sz w:val="24"/>
          <w:szCs w:val="24"/>
          <w:highlight w:val="none"/>
          <w:lang w:val="en-US" w:eastAsia="zh-CN"/>
        </w:rPr>
        <w:t>（一）综合评审资料递交时间地点：</w:t>
      </w:r>
      <w:r>
        <w:rPr>
          <w:rFonts w:hint="default"/>
          <w:sz w:val="24"/>
          <w:szCs w:val="24"/>
          <w:highlight w:val="none"/>
          <w:u w:val="single"/>
          <w:lang w:val="en-US" w:eastAsia="zh-CN"/>
        </w:rPr>
        <w:t>详见</w:t>
      </w:r>
      <w:r>
        <w:rPr>
          <w:rFonts w:hint="eastAsia"/>
          <w:sz w:val="24"/>
          <w:szCs w:val="24"/>
          <w:highlight w:val="none"/>
          <w:u w:val="single"/>
          <w:lang w:val="en-US" w:eastAsia="zh-CN"/>
        </w:rPr>
        <w:t>本项目公开转让公告</w:t>
      </w:r>
      <w:r>
        <w:rPr>
          <w:rFonts w:hint="default"/>
          <w:sz w:val="24"/>
          <w:szCs w:val="24"/>
          <w:highlight w:val="none"/>
          <w:lang w:val="en-US" w:eastAsia="zh-CN"/>
        </w:rPr>
        <w:t>。意向</w:t>
      </w:r>
      <w:r>
        <w:rPr>
          <w:rFonts w:hint="eastAsia"/>
          <w:b w:val="0"/>
          <w:bCs w:val="0"/>
          <w:color w:val="auto"/>
          <w:sz w:val="24"/>
          <w:szCs w:val="24"/>
          <w:highlight w:val="none"/>
          <w:lang w:val="en-US" w:eastAsia="zh-CN"/>
        </w:rPr>
        <w:t>受让</w:t>
      </w:r>
      <w:r>
        <w:rPr>
          <w:rFonts w:hint="default"/>
          <w:sz w:val="24"/>
          <w:szCs w:val="24"/>
          <w:highlight w:val="none"/>
          <w:lang w:val="en-US" w:eastAsia="zh-CN"/>
        </w:rPr>
        <w:t>方应在办理意向报名手续时提交综合评审资料。</w:t>
      </w:r>
    </w:p>
    <w:p w14:paraId="360C431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highlight w:val="none"/>
          <w:lang w:val="en-US" w:eastAsia="zh-CN"/>
        </w:rPr>
      </w:pPr>
      <w:r>
        <w:rPr>
          <w:rFonts w:hint="default"/>
          <w:sz w:val="24"/>
          <w:szCs w:val="24"/>
          <w:highlight w:val="none"/>
          <w:lang w:val="en-US" w:eastAsia="zh-CN"/>
        </w:rPr>
        <w:t>（二）综合评审资料份数及要求：</w:t>
      </w:r>
    </w:p>
    <w:p w14:paraId="076D542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highlight w:val="none"/>
          <w:lang w:val="en-US" w:eastAsia="zh-CN"/>
        </w:rPr>
      </w:pPr>
      <w:r>
        <w:rPr>
          <w:rFonts w:hint="default"/>
          <w:sz w:val="24"/>
          <w:szCs w:val="24"/>
          <w:highlight w:val="none"/>
          <w:lang w:val="en-US" w:eastAsia="zh-CN"/>
        </w:rPr>
        <w:t>1.一式五份，分别装订成册；综合评审资料应逐页加盖公章，装在文件袋里密封，封口处盖公章，若未密封或未加盖公章，将被拒收。</w:t>
      </w:r>
    </w:p>
    <w:p w14:paraId="1F3E325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highlight w:val="none"/>
          <w:lang w:val="en-US" w:eastAsia="zh-CN"/>
        </w:rPr>
      </w:pPr>
      <w:r>
        <w:rPr>
          <w:rFonts w:hint="default"/>
          <w:sz w:val="24"/>
          <w:szCs w:val="24"/>
          <w:highlight w:val="none"/>
          <w:lang w:val="en-US" w:eastAsia="zh-CN"/>
        </w:rPr>
        <w:t>2.密封文件袋上应注明：“南京市溧水区中医院</w:t>
      </w:r>
      <w:r>
        <w:rPr>
          <w:rFonts w:hint="eastAsia"/>
          <w:sz w:val="24"/>
          <w:szCs w:val="24"/>
          <w:highlight w:val="none"/>
          <w:lang w:val="en-US" w:eastAsia="zh-CN"/>
        </w:rPr>
        <w:t>二楼职工</w:t>
      </w:r>
      <w:r>
        <w:rPr>
          <w:rFonts w:hint="default"/>
          <w:sz w:val="24"/>
          <w:szCs w:val="24"/>
          <w:highlight w:val="none"/>
          <w:lang w:val="en-US" w:eastAsia="zh-CN"/>
        </w:rPr>
        <w:t>食堂</w:t>
      </w:r>
      <w:r>
        <w:rPr>
          <w:rFonts w:hint="eastAsia"/>
          <w:sz w:val="24"/>
          <w:szCs w:val="24"/>
          <w:highlight w:val="none"/>
          <w:lang w:val="en-US" w:eastAsia="zh-CN"/>
        </w:rPr>
        <w:t>经营权转让</w:t>
      </w:r>
      <w:r>
        <w:rPr>
          <w:rFonts w:hint="default"/>
          <w:sz w:val="24"/>
          <w:szCs w:val="24"/>
          <w:highlight w:val="none"/>
          <w:lang w:val="en-US" w:eastAsia="zh-CN"/>
        </w:rPr>
        <w:t>项目综合评审材料”字样、单位名称、联系人、联系方式等，密封处加盖骑缝公章。</w:t>
      </w:r>
    </w:p>
    <w:p w14:paraId="3145348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highlight w:val="none"/>
          <w:lang w:val="en-US" w:eastAsia="zh-CN"/>
        </w:rPr>
      </w:pPr>
      <w:r>
        <w:rPr>
          <w:rFonts w:hint="default"/>
          <w:sz w:val="24"/>
          <w:szCs w:val="24"/>
          <w:highlight w:val="none"/>
          <w:lang w:val="en-US" w:eastAsia="zh-CN"/>
        </w:rPr>
        <w:t>意向</w:t>
      </w:r>
      <w:r>
        <w:rPr>
          <w:rFonts w:hint="eastAsia"/>
          <w:b w:val="0"/>
          <w:bCs w:val="0"/>
          <w:color w:val="auto"/>
          <w:sz w:val="24"/>
          <w:szCs w:val="24"/>
          <w:highlight w:val="none"/>
          <w:lang w:val="en-US" w:eastAsia="zh-CN"/>
        </w:rPr>
        <w:t>受让</w:t>
      </w:r>
      <w:r>
        <w:rPr>
          <w:rFonts w:hint="default"/>
          <w:sz w:val="24"/>
          <w:szCs w:val="24"/>
          <w:highlight w:val="none"/>
          <w:lang w:val="en-US" w:eastAsia="zh-CN"/>
        </w:rPr>
        <w:t>方应在报名前认真阅读并完全理解本项目的相关文件要求，报名及递交综合评审资料</w:t>
      </w:r>
      <w:r>
        <w:rPr>
          <w:rFonts w:hint="eastAsia"/>
          <w:sz w:val="24"/>
          <w:szCs w:val="24"/>
          <w:highlight w:val="none"/>
          <w:lang w:val="en-US" w:eastAsia="zh-CN"/>
        </w:rPr>
        <w:t>，并</w:t>
      </w:r>
      <w:r>
        <w:rPr>
          <w:rFonts w:hint="default"/>
          <w:sz w:val="24"/>
          <w:szCs w:val="24"/>
          <w:highlight w:val="none"/>
          <w:lang w:val="en-US" w:eastAsia="zh-CN"/>
        </w:rPr>
        <w:t>承担相关法律责任。本项目相关文件由南京市溧水区中医院、溧水区国有资产资源交易中心各自就相关事项享有解释权</w:t>
      </w:r>
      <w:r>
        <w:rPr>
          <w:rFonts w:hint="eastAsia"/>
          <w:sz w:val="24"/>
          <w:szCs w:val="24"/>
          <w:highlight w:val="none"/>
          <w:lang w:val="en-US" w:eastAsia="zh-CN"/>
        </w:rPr>
        <w:t>。</w:t>
      </w:r>
    </w:p>
    <w:p w14:paraId="3460EDA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825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EEA0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FEEA0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7F2F"/>
    <w:multiLevelType w:val="singleLevel"/>
    <w:tmpl w:val="B1027F2F"/>
    <w:lvl w:ilvl="0" w:tentative="0">
      <w:start w:val="1"/>
      <w:numFmt w:val="decimal"/>
      <w:lvlText w:val="%1."/>
      <w:lvlJc w:val="left"/>
      <w:pPr>
        <w:tabs>
          <w:tab w:val="left" w:pos="312"/>
        </w:tabs>
      </w:pPr>
    </w:lvl>
  </w:abstractNum>
  <w:abstractNum w:abstractNumId="1">
    <w:nsid w:val="F2620A80"/>
    <w:multiLevelType w:val="singleLevel"/>
    <w:tmpl w:val="F2620A80"/>
    <w:lvl w:ilvl="0" w:tentative="0">
      <w:start w:val="1"/>
      <w:numFmt w:val="decimal"/>
      <w:lvlText w:val="%1."/>
      <w:lvlJc w:val="left"/>
      <w:pPr>
        <w:tabs>
          <w:tab w:val="left" w:pos="312"/>
        </w:tabs>
      </w:pPr>
    </w:lvl>
  </w:abstractNum>
  <w:abstractNum w:abstractNumId="2">
    <w:nsid w:val="08FB80C5"/>
    <w:multiLevelType w:val="singleLevel"/>
    <w:tmpl w:val="08FB80C5"/>
    <w:lvl w:ilvl="0" w:tentative="0">
      <w:start w:val="1"/>
      <w:numFmt w:val="decimal"/>
      <w:suff w:val="nothing"/>
      <w:lvlText w:val="（%1）"/>
      <w:lvlJc w:val="left"/>
    </w:lvl>
  </w:abstractNum>
  <w:abstractNum w:abstractNumId="3">
    <w:nsid w:val="387D3FC9"/>
    <w:multiLevelType w:val="singleLevel"/>
    <w:tmpl w:val="387D3FC9"/>
    <w:lvl w:ilvl="0" w:tentative="0">
      <w:start w:val="1"/>
      <w:numFmt w:val="decimal"/>
      <w:suff w:val="nothing"/>
      <w:lvlText w:val="（%1）"/>
      <w:lvlJc w:val="left"/>
    </w:lvl>
  </w:abstractNum>
  <w:abstractNum w:abstractNumId="4">
    <w:nsid w:val="40C60F2C"/>
    <w:multiLevelType w:val="singleLevel"/>
    <w:tmpl w:val="40C60F2C"/>
    <w:lvl w:ilvl="0" w:tentative="0">
      <w:start w:val="1"/>
      <w:numFmt w:val="chineseCounting"/>
      <w:suff w:val="nothing"/>
      <w:lvlText w:val="%1、"/>
      <w:lvlJc w:val="left"/>
      <w:rPr>
        <w:rFonts w:hint="eastAsia"/>
      </w:rPr>
    </w:lvl>
  </w:abstractNum>
  <w:abstractNum w:abstractNumId="5">
    <w:nsid w:val="4A4542BD"/>
    <w:multiLevelType w:val="singleLevel"/>
    <w:tmpl w:val="4A4542BD"/>
    <w:lvl w:ilvl="0" w:tentative="0">
      <w:start w:val="5"/>
      <w:numFmt w:val="chineseCounting"/>
      <w:suff w:val="nothing"/>
      <w:lvlText w:val="%1、"/>
      <w:lvlJc w:val="left"/>
      <w:rPr>
        <w:rFonts w:hint="eastAsia"/>
      </w:rPr>
    </w:lvl>
  </w:abstractNum>
  <w:abstractNum w:abstractNumId="6">
    <w:nsid w:val="4C62E312"/>
    <w:multiLevelType w:val="singleLevel"/>
    <w:tmpl w:val="4C62E312"/>
    <w:lvl w:ilvl="0" w:tentative="0">
      <w:start w:val="1"/>
      <w:numFmt w:val="chineseCounting"/>
      <w:suff w:val="nothing"/>
      <w:lvlText w:val="（%1）"/>
      <w:lvlJc w:val="left"/>
      <w:rPr>
        <w:rFonts w:hint="eastAsia"/>
      </w:rPr>
    </w:lvl>
  </w:abstractNum>
  <w:abstractNum w:abstractNumId="7">
    <w:nsid w:val="7EE5B4D8"/>
    <w:multiLevelType w:val="singleLevel"/>
    <w:tmpl w:val="7EE5B4D8"/>
    <w:lvl w:ilvl="0" w:tentative="0">
      <w:start w:val="1"/>
      <w:numFmt w:val="chineseCounting"/>
      <w:suff w:val="nothing"/>
      <w:lvlText w:val="（%1）"/>
      <w:lvlJc w:val="left"/>
      <w:rPr>
        <w:rFonts w:hint="eastAsia"/>
      </w:rPr>
    </w:lvl>
  </w:abstractNum>
  <w:num w:numId="1">
    <w:abstractNumId w:val="4"/>
  </w:num>
  <w:num w:numId="2">
    <w:abstractNumId w:val="7"/>
  </w:num>
  <w:num w:numId="3">
    <w:abstractNumId w:val="0"/>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DFhZGMxMjIwZjU5NWYwZjkyZWVkMzcxOWIwMzMifQ=="/>
  </w:docVars>
  <w:rsids>
    <w:rsidRoot w:val="00000000"/>
    <w:rsid w:val="003F3394"/>
    <w:rsid w:val="00456B8B"/>
    <w:rsid w:val="006360BD"/>
    <w:rsid w:val="008D4EE8"/>
    <w:rsid w:val="00B25FB0"/>
    <w:rsid w:val="00BD2CCE"/>
    <w:rsid w:val="00C22DDA"/>
    <w:rsid w:val="00E37B32"/>
    <w:rsid w:val="00EC3065"/>
    <w:rsid w:val="011D71F5"/>
    <w:rsid w:val="015123B9"/>
    <w:rsid w:val="016140C6"/>
    <w:rsid w:val="01852063"/>
    <w:rsid w:val="018857CB"/>
    <w:rsid w:val="01DF72C2"/>
    <w:rsid w:val="021C7F39"/>
    <w:rsid w:val="0233386D"/>
    <w:rsid w:val="023F66B6"/>
    <w:rsid w:val="02443D01"/>
    <w:rsid w:val="025A529E"/>
    <w:rsid w:val="025B249C"/>
    <w:rsid w:val="02833E3F"/>
    <w:rsid w:val="02AC3E59"/>
    <w:rsid w:val="02CC05EC"/>
    <w:rsid w:val="02DA6C7E"/>
    <w:rsid w:val="02ED4364"/>
    <w:rsid w:val="030E5CC5"/>
    <w:rsid w:val="033D0125"/>
    <w:rsid w:val="035D4076"/>
    <w:rsid w:val="03855ABA"/>
    <w:rsid w:val="03DA4A0A"/>
    <w:rsid w:val="03DC4B53"/>
    <w:rsid w:val="04220564"/>
    <w:rsid w:val="04644636"/>
    <w:rsid w:val="04653DAA"/>
    <w:rsid w:val="049F51EA"/>
    <w:rsid w:val="04CF0CED"/>
    <w:rsid w:val="04D2164A"/>
    <w:rsid w:val="04DD3F64"/>
    <w:rsid w:val="04EA50A5"/>
    <w:rsid w:val="04ED6A6C"/>
    <w:rsid w:val="055204AE"/>
    <w:rsid w:val="05A81412"/>
    <w:rsid w:val="05DE0B0D"/>
    <w:rsid w:val="065B4960"/>
    <w:rsid w:val="065C3609"/>
    <w:rsid w:val="0675775F"/>
    <w:rsid w:val="068423E9"/>
    <w:rsid w:val="0696261C"/>
    <w:rsid w:val="06CB2930"/>
    <w:rsid w:val="06CB676A"/>
    <w:rsid w:val="06DB759B"/>
    <w:rsid w:val="072F5294"/>
    <w:rsid w:val="07830DF3"/>
    <w:rsid w:val="07C43491"/>
    <w:rsid w:val="07C84BE9"/>
    <w:rsid w:val="07EF1B14"/>
    <w:rsid w:val="07F36D93"/>
    <w:rsid w:val="0808579C"/>
    <w:rsid w:val="081163FE"/>
    <w:rsid w:val="08303A92"/>
    <w:rsid w:val="085D7C9A"/>
    <w:rsid w:val="087C2D06"/>
    <w:rsid w:val="0887776E"/>
    <w:rsid w:val="089B70C6"/>
    <w:rsid w:val="08A059D4"/>
    <w:rsid w:val="08BB280E"/>
    <w:rsid w:val="08CC2927"/>
    <w:rsid w:val="08CC7D6A"/>
    <w:rsid w:val="09173EE8"/>
    <w:rsid w:val="09622F9A"/>
    <w:rsid w:val="09C430F7"/>
    <w:rsid w:val="09DA5417"/>
    <w:rsid w:val="0A0525A8"/>
    <w:rsid w:val="0A310FDA"/>
    <w:rsid w:val="0A432ABB"/>
    <w:rsid w:val="0A4501B5"/>
    <w:rsid w:val="0A4A5BF8"/>
    <w:rsid w:val="0A4C1970"/>
    <w:rsid w:val="0A984BB5"/>
    <w:rsid w:val="0A9B28F7"/>
    <w:rsid w:val="0AE61DC4"/>
    <w:rsid w:val="0AFD6E0D"/>
    <w:rsid w:val="0B0E2F7E"/>
    <w:rsid w:val="0B332B30"/>
    <w:rsid w:val="0B5356C7"/>
    <w:rsid w:val="0B74117F"/>
    <w:rsid w:val="0B91759B"/>
    <w:rsid w:val="0BA80E28"/>
    <w:rsid w:val="0BAE53EB"/>
    <w:rsid w:val="0BBA1E1F"/>
    <w:rsid w:val="0C015C45"/>
    <w:rsid w:val="0C177D5B"/>
    <w:rsid w:val="0C370591"/>
    <w:rsid w:val="0C4113D4"/>
    <w:rsid w:val="0C4C4A9A"/>
    <w:rsid w:val="0C9E6184"/>
    <w:rsid w:val="0CBF1239"/>
    <w:rsid w:val="0CEE084A"/>
    <w:rsid w:val="0CFA3905"/>
    <w:rsid w:val="0D744ABF"/>
    <w:rsid w:val="0DBC460E"/>
    <w:rsid w:val="0DD356B4"/>
    <w:rsid w:val="0DF635F3"/>
    <w:rsid w:val="0DFB23C6"/>
    <w:rsid w:val="0E576B35"/>
    <w:rsid w:val="0E666D78"/>
    <w:rsid w:val="0E7D4279"/>
    <w:rsid w:val="0E7E0142"/>
    <w:rsid w:val="0EBA0F90"/>
    <w:rsid w:val="0EFE5203"/>
    <w:rsid w:val="0F3D6C71"/>
    <w:rsid w:val="0F3F1AA3"/>
    <w:rsid w:val="0F772653"/>
    <w:rsid w:val="0F851480"/>
    <w:rsid w:val="0FA91612"/>
    <w:rsid w:val="0FC644DC"/>
    <w:rsid w:val="0FCB1589"/>
    <w:rsid w:val="10233173"/>
    <w:rsid w:val="10A5627E"/>
    <w:rsid w:val="10BB1255"/>
    <w:rsid w:val="10CF66F1"/>
    <w:rsid w:val="10EF3833"/>
    <w:rsid w:val="10FD4EE8"/>
    <w:rsid w:val="1113207E"/>
    <w:rsid w:val="11513438"/>
    <w:rsid w:val="11650CEB"/>
    <w:rsid w:val="118C4243"/>
    <w:rsid w:val="11B247F8"/>
    <w:rsid w:val="11CE6F14"/>
    <w:rsid w:val="12072620"/>
    <w:rsid w:val="123C7A17"/>
    <w:rsid w:val="124F64A1"/>
    <w:rsid w:val="12591BF3"/>
    <w:rsid w:val="127B6F84"/>
    <w:rsid w:val="12855AA9"/>
    <w:rsid w:val="12B05E47"/>
    <w:rsid w:val="12DE7825"/>
    <w:rsid w:val="12E22D8C"/>
    <w:rsid w:val="12EC78C9"/>
    <w:rsid w:val="12F20005"/>
    <w:rsid w:val="12FE1894"/>
    <w:rsid w:val="130F32F3"/>
    <w:rsid w:val="134976C3"/>
    <w:rsid w:val="13525B1D"/>
    <w:rsid w:val="13732499"/>
    <w:rsid w:val="138820F4"/>
    <w:rsid w:val="140E7C96"/>
    <w:rsid w:val="143109B5"/>
    <w:rsid w:val="143B29D1"/>
    <w:rsid w:val="14440308"/>
    <w:rsid w:val="146F6F38"/>
    <w:rsid w:val="149B20AF"/>
    <w:rsid w:val="14B00CB3"/>
    <w:rsid w:val="14F41D52"/>
    <w:rsid w:val="14FE41AE"/>
    <w:rsid w:val="150712B5"/>
    <w:rsid w:val="1525798D"/>
    <w:rsid w:val="1588090F"/>
    <w:rsid w:val="15913B9A"/>
    <w:rsid w:val="159E2CD2"/>
    <w:rsid w:val="16043E5F"/>
    <w:rsid w:val="1638549E"/>
    <w:rsid w:val="16995065"/>
    <w:rsid w:val="169A000D"/>
    <w:rsid w:val="16AC5E91"/>
    <w:rsid w:val="16BD32EE"/>
    <w:rsid w:val="16E86EC4"/>
    <w:rsid w:val="171E400F"/>
    <w:rsid w:val="17550BD0"/>
    <w:rsid w:val="17775B1A"/>
    <w:rsid w:val="178B020A"/>
    <w:rsid w:val="17A001DC"/>
    <w:rsid w:val="17C21EA2"/>
    <w:rsid w:val="17D66D1D"/>
    <w:rsid w:val="17F13B56"/>
    <w:rsid w:val="17FC2CC4"/>
    <w:rsid w:val="18253800"/>
    <w:rsid w:val="184F5668"/>
    <w:rsid w:val="185A16FC"/>
    <w:rsid w:val="18754004"/>
    <w:rsid w:val="18936230"/>
    <w:rsid w:val="191D7DDA"/>
    <w:rsid w:val="193F08F1"/>
    <w:rsid w:val="19464511"/>
    <w:rsid w:val="19581B76"/>
    <w:rsid w:val="195C1AEB"/>
    <w:rsid w:val="197D52B6"/>
    <w:rsid w:val="197F56D5"/>
    <w:rsid w:val="19882298"/>
    <w:rsid w:val="19972971"/>
    <w:rsid w:val="19B06AEB"/>
    <w:rsid w:val="19D111DA"/>
    <w:rsid w:val="19F36026"/>
    <w:rsid w:val="1A0F4768"/>
    <w:rsid w:val="1A2A3962"/>
    <w:rsid w:val="1A3466FB"/>
    <w:rsid w:val="1A6A7BF0"/>
    <w:rsid w:val="1AA17AB6"/>
    <w:rsid w:val="1AA21AC2"/>
    <w:rsid w:val="1ACB63A3"/>
    <w:rsid w:val="1AD51BFD"/>
    <w:rsid w:val="1ADC7F5B"/>
    <w:rsid w:val="1AE35A80"/>
    <w:rsid w:val="1B2D7A33"/>
    <w:rsid w:val="1B356450"/>
    <w:rsid w:val="1B462E07"/>
    <w:rsid w:val="1B4D19EC"/>
    <w:rsid w:val="1B826E63"/>
    <w:rsid w:val="1BA02939"/>
    <w:rsid w:val="1BB479C4"/>
    <w:rsid w:val="1BDC2DB4"/>
    <w:rsid w:val="1BE236C0"/>
    <w:rsid w:val="1BE834C2"/>
    <w:rsid w:val="1BE91714"/>
    <w:rsid w:val="1BFD0CC2"/>
    <w:rsid w:val="1C24274C"/>
    <w:rsid w:val="1C4F52EF"/>
    <w:rsid w:val="1C536B8E"/>
    <w:rsid w:val="1C7F7983"/>
    <w:rsid w:val="1CBF2475"/>
    <w:rsid w:val="1CD37CCF"/>
    <w:rsid w:val="1CE2423B"/>
    <w:rsid w:val="1D271DC8"/>
    <w:rsid w:val="1D57445C"/>
    <w:rsid w:val="1D6A2484"/>
    <w:rsid w:val="1D7768AC"/>
    <w:rsid w:val="1E2E78B2"/>
    <w:rsid w:val="1E3A2F21"/>
    <w:rsid w:val="1E4478C6"/>
    <w:rsid w:val="1E463ED3"/>
    <w:rsid w:val="1E5906A7"/>
    <w:rsid w:val="1E753EBE"/>
    <w:rsid w:val="1E756378"/>
    <w:rsid w:val="1E7D4409"/>
    <w:rsid w:val="1EB42DDC"/>
    <w:rsid w:val="1F0C54DC"/>
    <w:rsid w:val="1F10520A"/>
    <w:rsid w:val="1F306B65"/>
    <w:rsid w:val="1F374D1F"/>
    <w:rsid w:val="1F455C33"/>
    <w:rsid w:val="1F505B37"/>
    <w:rsid w:val="1F775289"/>
    <w:rsid w:val="1FAE2E99"/>
    <w:rsid w:val="1FB63CEA"/>
    <w:rsid w:val="1FD10A87"/>
    <w:rsid w:val="1FD77AD6"/>
    <w:rsid w:val="200A4B94"/>
    <w:rsid w:val="200E0DCE"/>
    <w:rsid w:val="201B4656"/>
    <w:rsid w:val="203767C6"/>
    <w:rsid w:val="20BE724E"/>
    <w:rsid w:val="20C32FFC"/>
    <w:rsid w:val="20C53EC7"/>
    <w:rsid w:val="20CB411B"/>
    <w:rsid w:val="20FD555F"/>
    <w:rsid w:val="214D1353"/>
    <w:rsid w:val="215C64E4"/>
    <w:rsid w:val="215D04AF"/>
    <w:rsid w:val="2172663E"/>
    <w:rsid w:val="217F34EC"/>
    <w:rsid w:val="221E7C3E"/>
    <w:rsid w:val="223E7944"/>
    <w:rsid w:val="224D57AE"/>
    <w:rsid w:val="22A15498"/>
    <w:rsid w:val="22B66A11"/>
    <w:rsid w:val="22E35D19"/>
    <w:rsid w:val="23272B22"/>
    <w:rsid w:val="232B0864"/>
    <w:rsid w:val="23515DF1"/>
    <w:rsid w:val="238910E7"/>
    <w:rsid w:val="239B7776"/>
    <w:rsid w:val="23A7445B"/>
    <w:rsid w:val="23C6233B"/>
    <w:rsid w:val="23D74548"/>
    <w:rsid w:val="240C2498"/>
    <w:rsid w:val="246C2EE2"/>
    <w:rsid w:val="24787223"/>
    <w:rsid w:val="254F15CA"/>
    <w:rsid w:val="255220A1"/>
    <w:rsid w:val="25556D82"/>
    <w:rsid w:val="25695674"/>
    <w:rsid w:val="256F56FB"/>
    <w:rsid w:val="266D3E6D"/>
    <w:rsid w:val="269427E9"/>
    <w:rsid w:val="26D11723"/>
    <w:rsid w:val="26F176CF"/>
    <w:rsid w:val="26F3714B"/>
    <w:rsid w:val="26F443EF"/>
    <w:rsid w:val="27012FF9"/>
    <w:rsid w:val="271A4CA5"/>
    <w:rsid w:val="276A122F"/>
    <w:rsid w:val="277F117F"/>
    <w:rsid w:val="278C564A"/>
    <w:rsid w:val="27BF75E0"/>
    <w:rsid w:val="27C918CE"/>
    <w:rsid w:val="28215D92"/>
    <w:rsid w:val="28302479"/>
    <w:rsid w:val="283337DE"/>
    <w:rsid w:val="28345075"/>
    <w:rsid w:val="283D16F4"/>
    <w:rsid w:val="28447CD2"/>
    <w:rsid w:val="28625796"/>
    <w:rsid w:val="289D4C2F"/>
    <w:rsid w:val="28E45D17"/>
    <w:rsid w:val="28F416F8"/>
    <w:rsid w:val="28FB5A1B"/>
    <w:rsid w:val="295577F0"/>
    <w:rsid w:val="296331BE"/>
    <w:rsid w:val="29741E24"/>
    <w:rsid w:val="29780825"/>
    <w:rsid w:val="297A7E50"/>
    <w:rsid w:val="2A063491"/>
    <w:rsid w:val="2A7D127A"/>
    <w:rsid w:val="2A842608"/>
    <w:rsid w:val="2ABC5AC5"/>
    <w:rsid w:val="2ABF74A7"/>
    <w:rsid w:val="2AC52326"/>
    <w:rsid w:val="2AC90BAC"/>
    <w:rsid w:val="2ACC22B3"/>
    <w:rsid w:val="2ACC4185"/>
    <w:rsid w:val="2B2D0EF2"/>
    <w:rsid w:val="2B37307C"/>
    <w:rsid w:val="2B400F64"/>
    <w:rsid w:val="2B536BAA"/>
    <w:rsid w:val="2BC4615E"/>
    <w:rsid w:val="2BC6450F"/>
    <w:rsid w:val="2C31056E"/>
    <w:rsid w:val="2C5F157F"/>
    <w:rsid w:val="2CCD64E8"/>
    <w:rsid w:val="2D4B0BCA"/>
    <w:rsid w:val="2D6C5CFC"/>
    <w:rsid w:val="2DA51213"/>
    <w:rsid w:val="2DE24215"/>
    <w:rsid w:val="2DF778AD"/>
    <w:rsid w:val="2E1C279B"/>
    <w:rsid w:val="2E450300"/>
    <w:rsid w:val="2E6D7C42"/>
    <w:rsid w:val="2E7E3412"/>
    <w:rsid w:val="2E8751A1"/>
    <w:rsid w:val="2EE10029"/>
    <w:rsid w:val="2F20249B"/>
    <w:rsid w:val="2F5B427F"/>
    <w:rsid w:val="2F9331D6"/>
    <w:rsid w:val="2F970416"/>
    <w:rsid w:val="2FB13061"/>
    <w:rsid w:val="2FD858D0"/>
    <w:rsid w:val="2FF11F73"/>
    <w:rsid w:val="30146F8B"/>
    <w:rsid w:val="30224B54"/>
    <w:rsid w:val="302458A8"/>
    <w:rsid w:val="30354AD0"/>
    <w:rsid w:val="308570DA"/>
    <w:rsid w:val="30920A89"/>
    <w:rsid w:val="30A25EDE"/>
    <w:rsid w:val="30AD3938"/>
    <w:rsid w:val="30C60521"/>
    <w:rsid w:val="30D429AA"/>
    <w:rsid w:val="30D75275"/>
    <w:rsid w:val="30DC13F0"/>
    <w:rsid w:val="314D2F38"/>
    <w:rsid w:val="314D5E4A"/>
    <w:rsid w:val="318B6972"/>
    <w:rsid w:val="31C02740"/>
    <w:rsid w:val="31F51537"/>
    <w:rsid w:val="31F91898"/>
    <w:rsid w:val="323E5792"/>
    <w:rsid w:val="327C321E"/>
    <w:rsid w:val="32824F35"/>
    <w:rsid w:val="32BA6274"/>
    <w:rsid w:val="32EB3324"/>
    <w:rsid w:val="33027F46"/>
    <w:rsid w:val="332106A7"/>
    <w:rsid w:val="332570E2"/>
    <w:rsid w:val="339935C8"/>
    <w:rsid w:val="33C323F3"/>
    <w:rsid w:val="345920CE"/>
    <w:rsid w:val="347E6F0F"/>
    <w:rsid w:val="34AF4725"/>
    <w:rsid w:val="34B57E54"/>
    <w:rsid w:val="34BC28FE"/>
    <w:rsid w:val="34BD6E42"/>
    <w:rsid w:val="34C60079"/>
    <w:rsid w:val="34CB7B3B"/>
    <w:rsid w:val="350D17A9"/>
    <w:rsid w:val="352068CD"/>
    <w:rsid w:val="355F2BEC"/>
    <w:rsid w:val="356926D5"/>
    <w:rsid w:val="35AD6EB7"/>
    <w:rsid w:val="35D01D25"/>
    <w:rsid w:val="35DC59EE"/>
    <w:rsid w:val="364F4412"/>
    <w:rsid w:val="3662158F"/>
    <w:rsid w:val="368E4F3A"/>
    <w:rsid w:val="36D301F3"/>
    <w:rsid w:val="36E77377"/>
    <w:rsid w:val="36FC1954"/>
    <w:rsid w:val="37015E15"/>
    <w:rsid w:val="372E5DD5"/>
    <w:rsid w:val="375515B4"/>
    <w:rsid w:val="376A3412"/>
    <w:rsid w:val="378B3228"/>
    <w:rsid w:val="378C783F"/>
    <w:rsid w:val="37B728D6"/>
    <w:rsid w:val="383C4522"/>
    <w:rsid w:val="386D0B7F"/>
    <w:rsid w:val="388B33A0"/>
    <w:rsid w:val="38910537"/>
    <w:rsid w:val="389C00A3"/>
    <w:rsid w:val="38A2649C"/>
    <w:rsid w:val="38A840E1"/>
    <w:rsid w:val="38A9631F"/>
    <w:rsid w:val="38E04D70"/>
    <w:rsid w:val="38E30E42"/>
    <w:rsid w:val="390019F4"/>
    <w:rsid w:val="39017527"/>
    <w:rsid w:val="392033CF"/>
    <w:rsid w:val="39290401"/>
    <w:rsid w:val="392C6D9B"/>
    <w:rsid w:val="39311764"/>
    <w:rsid w:val="39466E55"/>
    <w:rsid w:val="394E275F"/>
    <w:rsid w:val="395D6E46"/>
    <w:rsid w:val="396041AE"/>
    <w:rsid w:val="398301F6"/>
    <w:rsid w:val="399F745E"/>
    <w:rsid w:val="3A0A4B9D"/>
    <w:rsid w:val="3A2C2CB0"/>
    <w:rsid w:val="3A7C3DD2"/>
    <w:rsid w:val="3A8723CC"/>
    <w:rsid w:val="3A992100"/>
    <w:rsid w:val="3AA83D67"/>
    <w:rsid w:val="3ADF59EB"/>
    <w:rsid w:val="3B005CDB"/>
    <w:rsid w:val="3B6E160F"/>
    <w:rsid w:val="3B7019AF"/>
    <w:rsid w:val="3BC44F5A"/>
    <w:rsid w:val="3C0B23DA"/>
    <w:rsid w:val="3C2E6878"/>
    <w:rsid w:val="3C920BB5"/>
    <w:rsid w:val="3CA37A53"/>
    <w:rsid w:val="3CE670A8"/>
    <w:rsid w:val="3D235CB1"/>
    <w:rsid w:val="3D35358E"/>
    <w:rsid w:val="3D3879AE"/>
    <w:rsid w:val="3D684A0B"/>
    <w:rsid w:val="3D7F00FB"/>
    <w:rsid w:val="3D8A5D30"/>
    <w:rsid w:val="3DD53A20"/>
    <w:rsid w:val="3DD671C7"/>
    <w:rsid w:val="3DE63595"/>
    <w:rsid w:val="3DE7372A"/>
    <w:rsid w:val="3E263CAA"/>
    <w:rsid w:val="3E3E34AB"/>
    <w:rsid w:val="3E5146F2"/>
    <w:rsid w:val="3E906080"/>
    <w:rsid w:val="3EAD477D"/>
    <w:rsid w:val="3EBB1F93"/>
    <w:rsid w:val="3EC76B54"/>
    <w:rsid w:val="3F115669"/>
    <w:rsid w:val="3F285C7B"/>
    <w:rsid w:val="3F5D1294"/>
    <w:rsid w:val="3F9B06C8"/>
    <w:rsid w:val="3FF1653A"/>
    <w:rsid w:val="3FFE5C44"/>
    <w:rsid w:val="400B1FA5"/>
    <w:rsid w:val="401163BF"/>
    <w:rsid w:val="403C29FA"/>
    <w:rsid w:val="407D1B7C"/>
    <w:rsid w:val="40806BE1"/>
    <w:rsid w:val="41007D73"/>
    <w:rsid w:val="411448C4"/>
    <w:rsid w:val="4125649B"/>
    <w:rsid w:val="4144212E"/>
    <w:rsid w:val="414C32C6"/>
    <w:rsid w:val="41914E3F"/>
    <w:rsid w:val="41F2616A"/>
    <w:rsid w:val="42015FA7"/>
    <w:rsid w:val="42026F12"/>
    <w:rsid w:val="4236566E"/>
    <w:rsid w:val="423E4EFE"/>
    <w:rsid w:val="425152E0"/>
    <w:rsid w:val="42907AE7"/>
    <w:rsid w:val="429C09DF"/>
    <w:rsid w:val="42B63FE0"/>
    <w:rsid w:val="42C43A92"/>
    <w:rsid w:val="42CD46CB"/>
    <w:rsid w:val="42D068DB"/>
    <w:rsid w:val="42D21D5E"/>
    <w:rsid w:val="42D812EB"/>
    <w:rsid w:val="42F12310"/>
    <w:rsid w:val="42F9198D"/>
    <w:rsid w:val="42FF4ACA"/>
    <w:rsid w:val="43433BED"/>
    <w:rsid w:val="435E7A42"/>
    <w:rsid w:val="436C03B1"/>
    <w:rsid w:val="43B458B4"/>
    <w:rsid w:val="43B559D7"/>
    <w:rsid w:val="43C95804"/>
    <w:rsid w:val="43D01809"/>
    <w:rsid w:val="43F05291"/>
    <w:rsid w:val="4425152C"/>
    <w:rsid w:val="446F063A"/>
    <w:rsid w:val="44E126D9"/>
    <w:rsid w:val="44F66138"/>
    <w:rsid w:val="45091C30"/>
    <w:rsid w:val="450B65BE"/>
    <w:rsid w:val="455A248C"/>
    <w:rsid w:val="455D2986"/>
    <w:rsid w:val="456A1DA8"/>
    <w:rsid w:val="458F737D"/>
    <w:rsid w:val="45C53DA9"/>
    <w:rsid w:val="45D4223E"/>
    <w:rsid w:val="45D67D64"/>
    <w:rsid w:val="45F4643C"/>
    <w:rsid w:val="46016203"/>
    <w:rsid w:val="46192DF6"/>
    <w:rsid w:val="461F51B5"/>
    <w:rsid w:val="463E16BA"/>
    <w:rsid w:val="464977EC"/>
    <w:rsid w:val="469140B1"/>
    <w:rsid w:val="4692036C"/>
    <w:rsid w:val="469B51A2"/>
    <w:rsid w:val="46A95479"/>
    <w:rsid w:val="46E7609F"/>
    <w:rsid w:val="46E96D47"/>
    <w:rsid w:val="47541888"/>
    <w:rsid w:val="475747A2"/>
    <w:rsid w:val="476C40CB"/>
    <w:rsid w:val="479E0D55"/>
    <w:rsid w:val="47CD3341"/>
    <w:rsid w:val="47D1012A"/>
    <w:rsid w:val="47FE191C"/>
    <w:rsid w:val="480E5EDB"/>
    <w:rsid w:val="480F3A01"/>
    <w:rsid w:val="486674E4"/>
    <w:rsid w:val="48802209"/>
    <w:rsid w:val="4883180E"/>
    <w:rsid w:val="489A776F"/>
    <w:rsid w:val="48EA2F41"/>
    <w:rsid w:val="490B749B"/>
    <w:rsid w:val="4910358D"/>
    <w:rsid w:val="49155047"/>
    <w:rsid w:val="498D2E30"/>
    <w:rsid w:val="49BD6853"/>
    <w:rsid w:val="49D071C0"/>
    <w:rsid w:val="49E05AD5"/>
    <w:rsid w:val="49E816F1"/>
    <w:rsid w:val="4A0742B7"/>
    <w:rsid w:val="4A480FB3"/>
    <w:rsid w:val="4A58312E"/>
    <w:rsid w:val="4A6C62FE"/>
    <w:rsid w:val="4A6F4C2B"/>
    <w:rsid w:val="4ABF37A2"/>
    <w:rsid w:val="4B355AD0"/>
    <w:rsid w:val="4B417824"/>
    <w:rsid w:val="4B4D1368"/>
    <w:rsid w:val="4B4F6348"/>
    <w:rsid w:val="4B667DDC"/>
    <w:rsid w:val="4B814083"/>
    <w:rsid w:val="4BF00E77"/>
    <w:rsid w:val="4C0D0258"/>
    <w:rsid w:val="4C237A7B"/>
    <w:rsid w:val="4C574551"/>
    <w:rsid w:val="4C9824F8"/>
    <w:rsid w:val="4CAB011F"/>
    <w:rsid w:val="4CC72AFC"/>
    <w:rsid w:val="4CD25B49"/>
    <w:rsid w:val="4CD62D3F"/>
    <w:rsid w:val="4CF34BF9"/>
    <w:rsid w:val="4CF8570D"/>
    <w:rsid w:val="4D0457BE"/>
    <w:rsid w:val="4D467EC5"/>
    <w:rsid w:val="4D491731"/>
    <w:rsid w:val="4D947FA6"/>
    <w:rsid w:val="4DCF24FA"/>
    <w:rsid w:val="4DF91292"/>
    <w:rsid w:val="4E437F61"/>
    <w:rsid w:val="4E8A5B90"/>
    <w:rsid w:val="4E8B5B2A"/>
    <w:rsid w:val="4E984750"/>
    <w:rsid w:val="4EA529C9"/>
    <w:rsid w:val="4EC34DB2"/>
    <w:rsid w:val="4EE23C1E"/>
    <w:rsid w:val="4F12716D"/>
    <w:rsid w:val="4F19370F"/>
    <w:rsid w:val="4F3A18BA"/>
    <w:rsid w:val="4F516485"/>
    <w:rsid w:val="4F7C05EA"/>
    <w:rsid w:val="4F897533"/>
    <w:rsid w:val="4F8B1866"/>
    <w:rsid w:val="4FC86D44"/>
    <w:rsid w:val="4FD60B72"/>
    <w:rsid w:val="4FDA2B47"/>
    <w:rsid w:val="4FE669D5"/>
    <w:rsid w:val="50083136"/>
    <w:rsid w:val="50245AB2"/>
    <w:rsid w:val="50591CBD"/>
    <w:rsid w:val="505A5003"/>
    <w:rsid w:val="50AA2519"/>
    <w:rsid w:val="50C05A6E"/>
    <w:rsid w:val="50CF3D2E"/>
    <w:rsid w:val="50F80162"/>
    <w:rsid w:val="511D2CEB"/>
    <w:rsid w:val="516B6F3D"/>
    <w:rsid w:val="518E5997"/>
    <w:rsid w:val="51AB33AE"/>
    <w:rsid w:val="51E01838"/>
    <w:rsid w:val="523C15E2"/>
    <w:rsid w:val="52554144"/>
    <w:rsid w:val="5268268C"/>
    <w:rsid w:val="52730B24"/>
    <w:rsid w:val="52E47FA5"/>
    <w:rsid w:val="52E53CDC"/>
    <w:rsid w:val="530812CF"/>
    <w:rsid w:val="531212AD"/>
    <w:rsid w:val="53324D84"/>
    <w:rsid w:val="53775341"/>
    <w:rsid w:val="537F5EDF"/>
    <w:rsid w:val="538E73AC"/>
    <w:rsid w:val="53A2397B"/>
    <w:rsid w:val="53A36613"/>
    <w:rsid w:val="53B55872"/>
    <w:rsid w:val="54837309"/>
    <w:rsid w:val="54B0500B"/>
    <w:rsid w:val="54F2015E"/>
    <w:rsid w:val="55110DB9"/>
    <w:rsid w:val="55287EB0"/>
    <w:rsid w:val="554073E6"/>
    <w:rsid w:val="55A04E3B"/>
    <w:rsid w:val="55AA4D69"/>
    <w:rsid w:val="55AF412E"/>
    <w:rsid w:val="55CD5B6D"/>
    <w:rsid w:val="55E95892"/>
    <w:rsid w:val="55F161C7"/>
    <w:rsid w:val="56004989"/>
    <w:rsid w:val="560C332E"/>
    <w:rsid w:val="564F1D64"/>
    <w:rsid w:val="565034BD"/>
    <w:rsid w:val="567A0BDF"/>
    <w:rsid w:val="56803504"/>
    <w:rsid w:val="56890E23"/>
    <w:rsid w:val="56A71E75"/>
    <w:rsid w:val="56B063AF"/>
    <w:rsid w:val="56C50A07"/>
    <w:rsid w:val="56EE4427"/>
    <w:rsid w:val="56F92625"/>
    <w:rsid w:val="570939F7"/>
    <w:rsid w:val="570B1838"/>
    <w:rsid w:val="57174680"/>
    <w:rsid w:val="575651A9"/>
    <w:rsid w:val="57AD40CA"/>
    <w:rsid w:val="57D35153"/>
    <w:rsid w:val="57D81665"/>
    <w:rsid w:val="58873C03"/>
    <w:rsid w:val="5889335C"/>
    <w:rsid w:val="589E14BE"/>
    <w:rsid w:val="58AC7828"/>
    <w:rsid w:val="58C1004D"/>
    <w:rsid w:val="58ED7447"/>
    <w:rsid w:val="596F60AE"/>
    <w:rsid w:val="5988716F"/>
    <w:rsid w:val="598B5440"/>
    <w:rsid w:val="59D93E6F"/>
    <w:rsid w:val="5A194281"/>
    <w:rsid w:val="5A1B4488"/>
    <w:rsid w:val="5A474608"/>
    <w:rsid w:val="5A4B528D"/>
    <w:rsid w:val="5A93401E"/>
    <w:rsid w:val="5AA54397"/>
    <w:rsid w:val="5ABB7D65"/>
    <w:rsid w:val="5B070B67"/>
    <w:rsid w:val="5B2234FF"/>
    <w:rsid w:val="5B2B24A8"/>
    <w:rsid w:val="5B482600"/>
    <w:rsid w:val="5B5236A5"/>
    <w:rsid w:val="5B55563A"/>
    <w:rsid w:val="5B650932"/>
    <w:rsid w:val="5B7031FE"/>
    <w:rsid w:val="5B726329"/>
    <w:rsid w:val="5B7C71A8"/>
    <w:rsid w:val="5B917C4F"/>
    <w:rsid w:val="5B9242D5"/>
    <w:rsid w:val="5BA54992"/>
    <w:rsid w:val="5BFC33AE"/>
    <w:rsid w:val="5C3830CF"/>
    <w:rsid w:val="5C537F09"/>
    <w:rsid w:val="5C5504D2"/>
    <w:rsid w:val="5CA22C3E"/>
    <w:rsid w:val="5CBD7200"/>
    <w:rsid w:val="5CC674FD"/>
    <w:rsid w:val="5CDF116E"/>
    <w:rsid w:val="5CF41530"/>
    <w:rsid w:val="5D5E0FF9"/>
    <w:rsid w:val="5DA45F90"/>
    <w:rsid w:val="5DD415C7"/>
    <w:rsid w:val="5DE74DAC"/>
    <w:rsid w:val="5E045FE8"/>
    <w:rsid w:val="5E064172"/>
    <w:rsid w:val="5E301C5D"/>
    <w:rsid w:val="5E3B15D4"/>
    <w:rsid w:val="5E453881"/>
    <w:rsid w:val="5E531852"/>
    <w:rsid w:val="5E607025"/>
    <w:rsid w:val="5E99597B"/>
    <w:rsid w:val="5EB60A58"/>
    <w:rsid w:val="5EBE23F5"/>
    <w:rsid w:val="5EC56770"/>
    <w:rsid w:val="5F1020E1"/>
    <w:rsid w:val="5F322057"/>
    <w:rsid w:val="5F88611B"/>
    <w:rsid w:val="5FA71E0A"/>
    <w:rsid w:val="5FC059FC"/>
    <w:rsid w:val="600A2FD4"/>
    <w:rsid w:val="600E1C35"/>
    <w:rsid w:val="60341DFF"/>
    <w:rsid w:val="6040533D"/>
    <w:rsid w:val="607E7F71"/>
    <w:rsid w:val="60D22096"/>
    <w:rsid w:val="61301057"/>
    <w:rsid w:val="614B5652"/>
    <w:rsid w:val="6168031C"/>
    <w:rsid w:val="6172568C"/>
    <w:rsid w:val="617A033A"/>
    <w:rsid w:val="61D623E1"/>
    <w:rsid w:val="622639C9"/>
    <w:rsid w:val="622D6B06"/>
    <w:rsid w:val="62753605"/>
    <w:rsid w:val="62782477"/>
    <w:rsid w:val="62812418"/>
    <w:rsid w:val="628966B6"/>
    <w:rsid w:val="62913539"/>
    <w:rsid w:val="62DD677E"/>
    <w:rsid w:val="62E15CB8"/>
    <w:rsid w:val="62E1647C"/>
    <w:rsid w:val="62F45876"/>
    <w:rsid w:val="630C34D2"/>
    <w:rsid w:val="63293006"/>
    <w:rsid w:val="63514A76"/>
    <w:rsid w:val="636C08FC"/>
    <w:rsid w:val="637F7F8B"/>
    <w:rsid w:val="63BA14B0"/>
    <w:rsid w:val="63BE65AF"/>
    <w:rsid w:val="63C342F7"/>
    <w:rsid w:val="63C4313A"/>
    <w:rsid w:val="640F47E2"/>
    <w:rsid w:val="64177A6E"/>
    <w:rsid w:val="645C0B59"/>
    <w:rsid w:val="64696FD7"/>
    <w:rsid w:val="64D0022D"/>
    <w:rsid w:val="6500452C"/>
    <w:rsid w:val="65654809"/>
    <w:rsid w:val="656E44CA"/>
    <w:rsid w:val="65B71508"/>
    <w:rsid w:val="65D75707"/>
    <w:rsid w:val="65F06549"/>
    <w:rsid w:val="65FE3386"/>
    <w:rsid w:val="661C4367"/>
    <w:rsid w:val="667426C3"/>
    <w:rsid w:val="668F2989"/>
    <w:rsid w:val="66A01F9C"/>
    <w:rsid w:val="66BC48FC"/>
    <w:rsid w:val="66EB6240"/>
    <w:rsid w:val="67396B06"/>
    <w:rsid w:val="675039C2"/>
    <w:rsid w:val="67824424"/>
    <w:rsid w:val="67987117"/>
    <w:rsid w:val="679B1D79"/>
    <w:rsid w:val="67CF2A2A"/>
    <w:rsid w:val="67F80B8F"/>
    <w:rsid w:val="681B4693"/>
    <w:rsid w:val="68203C9D"/>
    <w:rsid w:val="68451F52"/>
    <w:rsid w:val="68725BBA"/>
    <w:rsid w:val="691E53FA"/>
    <w:rsid w:val="693F19BC"/>
    <w:rsid w:val="694C7138"/>
    <w:rsid w:val="696E593D"/>
    <w:rsid w:val="69857B04"/>
    <w:rsid w:val="69A8167A"/>
    <w:rsid w:val="69AA203A"/>
    <w:rsid w:val="69D81736"/>
    <w:rsid w:val="69F85C4B"/>
    <w:rsid w:val="6A674B7F"/>
    <w:rsid w:val="6A6C6F3B"/>
    <w:rsid w:val="6A7476A4"/>
    <w:rsid w:val="6B0A0AF3"/>
    <w:rsid w:val="6B3738EA"/>
    <w:rsid w:val="6B3F5966"/>
    <w:rsid w:val="6B4A697B"/>
    <w:rsid w:val="6B4C5FA2"/>
    <w:rsid w:val="6B820CC0"/>
    <w:rsid w:val="6BB4406A"/>
    <w:rsid w:val="6BC7234E"/>
    <w:rsid w:val="6BDA09CA"/>
    <w:rsid w:val="6BE01495"/>
    <w:rsid w:val="6BE8269E"/>
    <w:rsid w:val="6BE902A4"/>
    <w:rsid w:val="6C022DB1"/>
    <w:rsid w:val="6C092392"/>
    <w:rsid w:val="6C6170AD"/>
    <w:rsid w:val="6CB0280D"/>
    <w:rsid w:val="6CB87914"/>
    <w:rsid w:val="6CD3474E"/>
    <w:rsid w:val="6CE2197B"/>
    <w:rsid w:val="6CFE511C"/>
    <w:rsid w:val="6D215EB9"/>
    <w:rsid w:val="6D384F10"/>
    <w:rsid w:val="6DB26E7E"/>
    <w:rsid w:val="6DDD7632"/>
    <w:rsid w:val="6DFD3D93"/>
    <w:rsid w:val="6E232B39"/>
    <w:rsid w:val="6EAC5256"/>
    <w:rsid w:val="6EC1275F"/>
    <w:rsid w:val="6EED2A53"/>
    <w:rsid w:val="6F044B3E"/>
    <w:rsid w:val="6F12155D"/>
    <w:rsid w:val="6F3040D9"/>
    <w:rsid w:val="6F3C2A7E"/>
    <w:rsid w:val="6F9164A7"/>
    <w:rsid w:val="6FC57A24"/>
    <w:rsid w:val="6FC8022F"/>
    <w:rsid w:val="702A28D7"/>
    <w:rsid w:val="70470490"/>
    <w:rsid w:val="70590E1E"/>
    <w:rsid w:val="707662E3"/>
    <w:rsid w:val="70781B95"/>
    <w:rsid w:val="70853FB1"/>
    <w:rsid w:val="70885C1F"/>
    <w:rsid w:val="70D96CB3"/>
    <w:rsid w:val="70EC4156"/>
    <w:rsid w:val="70F96E79"/>
    <w:rsid w:val="711E68DF"/>
    <w:rsid w:val="71327C95"/>
    <w:rsid w:val="71347E51"/>
    <w:rsid w:val="715C274E"/>
    <w:rsid w:val="71710EB4"/>
    <w:rsid w:val="71A04296"/>
    <w:rsid w:val="71DB032D"/>
    <w:rsid w:val="71E05B1E"/>
    <w:rsid w:val="71F633B8"/>
    <w:rsid w:val="72253C9E"/>
    <w:rsid w:val="727B1B10"/>
    <w:rsid w:val="72AC1CC9"/>
    <w:rsid w:val="72E94A16"/>
    <w:rsid w:val="733827A8"/>
    <w:rsid w:val="73441F01"/>
    <w:rsid w:val="737C169B"/>
    <w:rsid w:val="738C7F28"/>
    <w:rsid w:val="739C72DB"/>
    <w:rsid w:val="73CD4CCB"/>
    <w:rsid w:val="73D47729"/>
    <w:rsid w:val="741B78CE"/>
    <w:rsid w:val="745F5C2E"/>
    <w:rsid w:val="74665756"/>
    <w:rsid w:val="74823E25"/>
    <w:rsid w:val="74AB65E8"/>
    <w:rsid w:val="74AC3023"/>
    <w:rsid w:val="74B308B5"/>
    <w:rsid w:val="74B310ED"/>
    <w:rsid w:val="74B84955"/>
    <w:rsid w:val="74CD39DB"/>
    <w:rsid w:val="74DF1EE2"/>
    <w:rsid w:val="75040BEA"/>
    <w:rsid w:val="752309F5"/>
    <w:rsid w:val="753541F8"/>
    <w:rsid w:val="75510906"/>
    <w:rsid w:val="755A3C5E"/>
    <w:rsid w:val="756722BD"/>
    <w:rsid w:val="75672FE1"/>
    <w:rsid w:val="756A258B"/>
    <w:rsid w:val="75776FEE"/>
    <w:rsid w:val="75865EA6"/>
    <w:rsid w:val="75A8469E"/>
    <w:rsid w:val="75F06371"/>
    <w:rsid w:val="75F52438"/>
    <w:rsid w:val="76054C7B"/>
    <w:rsid w:val="76425AF4"/>
    <w:rsid w:val="76487F5B"/>
    <w:rsid w:val="76567929"/>
    <w:rsid w:val="767E7AF4"/>
    <w:rsid w:val="76852727"/>
    <w:rsid w:val="768537A4"/>
    <w:rsid w:val="76870A83"/>
    <w:rsid w:val="7693567A"/>
    <w:rsid w:val="76D4359C"/>
    <w:rsid w:val="76E21B2F"/>
    <w:rsid w:val="76FE0619"/>
    <w:rsid w:val="76FF4535"/>
    <w:rsid w:val="770A2A1E"/>
    <w:rsid w:val="770E2F52"/>
    <w:rsid w:val="771F0E0F"/>
    <w:rsid w:val="775F6491"/>
    <w:rsid w:val="77737259"/>
    <w:rsid w:val="77811976"/>
    <w:rsid w:val="77901BB9"/>
    <w:rsid w:val="779D6084"/>
    <w:rsid w:val="77B657E9"/>
    <w:rsid w:val="77BE7FD1"/>
    <w:rsid w:val="787259C9"/>
    <w:rsid w:val="788C3154"/>
    <w:rsid w:val="788E0307"/>
    <w:rsid w:val="788F7DEA"/>
    <w:rsid w:val="78B6564F"/>
    <w:rsid w:val="78DA26BD"/>
    <w:rsid w:val="793C0E04"/>
    <w:rsid w:val="794964C4"/>
    <w:rsid w:val="79584959"/>
    <w:rsid w:val="79722641"/>
    <w:rsid w:val="797C1404"/>
    <w:rsid w:val="79AB3FAC"/>
    <w:rsid w:val="79D264B9"/>
    <w:rsid w:val="7A262361"/>
    <w:rsid w:val="7A3C3932"/>
    <w:rsid w:val="7A4F30DE"/>
    <w:rsid w:val="7A7C064A"/>
    <w:rsid w:val="7AAC2296"/>
    <w:rsid w:val="7AAD1CE3"/>
    <w:rsid w:val="7AAE2A7A"/>
    <w:rsid w:val="7AF81F4F"/>
    <w:rsid w:val="7B05200B"/>
    <w:rsid w:val="7B080CE8"/>
    <w:rsid w:val="7B1A0118"/>
    <w:rsid w:val="7B1D4732"/>
    <w:rsid w:val="7BC10593"/>
    <w:rsid w:val="7BC66B64"/>
    <w:rsid w:val="7BDB06D8"/>
    <w:rsid w:val="7BEC3027"/>
    <w:rsid w:val="7BF20FBF"/>
    <w:rsid w:val="7C111C53"/>
    <w:rsid w:val="7C596A1E"/>
    <w:rsid w:val="7C640DCC"/>
    <w:rsid w:val="7C681499"/>
    <w:rsid w:val="7C88532A"/>
    <w:rsid w:val="7C9E7F24"/>
    <w:rsid w:val="7CC0123F"/>
    <w:rsid w:val="7D0F7947"/>
    <w:rsid w:val="7D111A42"/>
    <w:rsid w:val="7D196E33"/>
    <w:rsid w:val="7D2C1703"/>
    <w:rsid w:val="7D6E0B58"/>
    <w:rsid w:val="7D7160BD"/>
    <w:rsid w:val="7D731D61"/>
    <w:rsid w:val="7D8C08A4"/>
    <w:rsid w:val="7DBA5EBD"/>
    <w:rsid w:val="7DC600E3"/>
    <w:rsid w:val="7DE97981"/>
    <w:rsid w:val="7DF16D4D"/>
    <w:rsid w:val="7E121751"/>
    <w:rsid w:val="7E2C30CA"/>
    <w:rsid w:val="7E463070"/>
    <w:rsid w:val="7E484F9C"/>
    <w:rsid w:val="7E7F0292"/>
    <w:rsid w:val="7E8A1134"/>
    <w:rsid w:val="7E9B156F"/>
    <w:rsid w:val="7EB727A1"/>
    <w:rsid w:val="7EBE525E"/>
    <w:rsid w:val="7EF42522"/>
    <w:rsid w:val="7F0C1437"/>
    <w:rsid w:val="7F166E48"/>
    <w:rsid w:val="7F1C3D32"/>
    <w:rsid w:val="7F833DB1"/>
    <w:rsid w:val="7F8F231F"/>
    <w:rsid w:val="7FB7208B"/>
    <w:rsid w:val="7FD05249"/>
    <w:rsid w:val="7FD966D0"/>
    <w:rsid w:val="7FE5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cs="Times New Roman"/>
      <w:b/>
      <w:sz w:val="32"/>
      <w:szCs w:val="20"/>
    </w:rPr>
  </w:style>
  <w:style w:type="paragraph" w:styleId="3">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index 4"/>
    <w:basedOn w:val="1"/>
    <w:next w:val="1"/>
    <w:unhideWhenUsed/>
    <w:qFormat/>
    <w:uiPriority w:val="99"/>
    <w:pPr>
      <w:ind w:left="600" w:leftChars="6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jc w:val="left"/>
    </w:pPr>
    <w:rPr>
      <w:rFonts w:ascii="Times New Roman" w:hAnsi="Times New Roman"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01"/>
    <w:basedOn w:val="12"/>
    <w:qFormat/>
    <w:uiPriority w:val="0"/>
    <w:rPr>
      <w:rFonts w:hint="eastAsia" w:ascii="宋体" w:hAnsi="宋体" w:eastAsia="宋体" w:cs="宋体"/>
      <w:color w:val="FF0000"/>
      <w:sz w:val="22"/>
      <w:szCs w:val="22"/>
      <w:u w:val="none"/>
    </w:rPr>
  </w:style>
  <w:style w:type="character" w:customStyle="1" w:styleId="14">
    <w:name w:val="font21"/>
    <w:basedOn w:val="12"/>
    <w:qFormat/>
    <w:uiPriority w:val="0"/>
    <w:rPr>
      <w:rFonts w:hint="eastAsia" w:ascii="宋体" w:hAnsi="宋体" w:eastAsia="宋体" w:cs="宋体"/>
      <w:color w:val="000000"/>
      <w:sz w:val="22"/>
      <w:szCs w:val="22"/>
      <w:u w:val="none"/>
    </w:rPr>
  </w:style>
  <w:style w:type="paragraph" w:customStyle="1" w:styleId="15">
    <w:name w:val="正文1"/>
    <w:basedOn w:val="1"/>
    <w:qFormat/>
    <w:uiPriority w:val="0"/>
    <w:pPr>
      <w:widowControl/>
      <w:spacing w:line="440" w:lineRule="exact"/>
      <w:ind w:right="-167" w:rightChars="-167"/>
    </w:pPr>
    <w:rPr>
      <w:b/>
    </w:rPr>
  </w:style>
  <w:style w:type="paragraph" w:customStyle="1" w:styleId="16">
    <w:name w:val="首行缩进"/>
    <w:basedOn w:val="1"/>
    <w:qFormat/>
    <w:uiPriority w:val="0"/>
    <w:pPr>
      <w:ind w:firstLine="480" w:firstLineChars="200"/>
    </w:pPr>
    <w:rPr>
      <w:szCs w:val="20"/>
      <w:lang w:val="zh-CN"/>
    </w:rPr>
  </w:style>
  <w:style w:type="paragraph" w:customStyle="1" w:styleId="17">
    <w:name w:val="三级标题"/>
    <w:basedOn w:val="2"/>
    <w:next w:val="5"/>
    <w:qFormat/>
    <w:uiPriority w:val="0"/>
    <w:pPr>
      <w:tabs>
        <w:tab w:val="left" w:pos="1505"/>
      </w:tabs>
      <w:topLinePunct/>
      <w:ind w:firstLine="200" w:firstLineChars="200"/>
    </w:pPr>
  </w:style>
  <w:style w:type="character" w:customStyle="1" w:styleId="18">
    <w:name w:val="font11"/>
    <w:basedOn w:val="12"/>
    <w:qFormat/>
    <w:uiPriority w:val="0"/>
    <w:rPr>
      <w:rFonts w:hint="eastAsia" w:ascii="宋体" w:hAnsi="宋体" w:eastAsia="宋体" w:cs="宋体"/>
      <w:color w:val="000000"/>
      <w:sz w:val="22"/>
      <w:szCs w:val="22"/>
      <w:u w:val="none"/>
    </w:rPr>
  </w:style>
  <w:style w:type="paragraph" w:customStyle="1" w:styleId="19">
    <w:name w:val="p0"/>
    <w:basedOn w:val="1"/>
    <w:qFormat/>
    <w:uiPriority w:val="0"/>
    <w:pPr>
      <w:widowControl/>
      <w:jc w:val="left"/>
    </w:pPr>
    <w:rPr>
      <w:rFonts w:ascii="Times New Roman" w:hAnsi="Times New Roman" w:eastAsia="宋体" w:cs="Times New Roman"/>
      <w:kern w:val="0"/>
      <w:szCs w:val="21"/>
    </w:rPr>
  </w:style>
  <w:style w:type="paragraph" w:customStyle="1" w:styleId="20">
    <w:name w:val="Table Paragraph"/>
    <w:basedOn w:val="1"/>
    <w:qFormat/>
    <w:uiPriority w:val="1"/>
    <w:rPr>
      <w:rFonts w:ascii="Times New Roman" w:hAnsi="Times New Roman" w:eastAsia="宋体" w:cs="Times New Roman"/>
      <w:kern w:val="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8261</Words>
  <Characters>8369</Characters>
  <Lines>0</Lines>
  <Paragraphs>0</Paragraphs>
  <TotalTime>71</TotalTime>
  <ScaleCrop>false</ScaleCrop>
  <LinksUpToDate>false</LinksUpToDate>
  <CharactersWithSpaces>8381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2022-08-20T00:46:00Z</dcterms:created>
  <dc:creator>yw</dc:creator>
  <cp:lastModifiedBy>杨伟</cp:lastModifiedBy>
  <cp:lastPrinted>2024-12-04T08:15:16Z</cp:lastPrinted>
  <dcterms:modified xsi:type="dcterms:W3CDTF">2024-12-04T08:23:35Z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1B5239113EE64E808AF830F8E1DEA5A9</vt:lpwstr>
  </property>
</Properties>
</file>